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7F" w:rsidRDefault="00C9487F" w:rsidP="00C9487F">
      <w:pPr>
        <w:spacing w:after="0" w:line="360" w:lineRule="auto"/>
        <w:rPr>
          <w:rFonts w:ascii="Arial" w:hAnsi="Arial" w:cs="Arial"/>
          <w:b/>
        </w:rPr>
      </w:pPr>
      <w:bookmarkStart w:id="0" w:name="_GoBack"/>
      <w:bookmarkEnd w:id="0"/>
      <w:r w:rsidRPr="00FF6E62">
        <w:rPr>
          <w:rFonts w:ascii="Arial" w:hAnsi="Arial" w:cs="Arial"/>
          <w:noProof/>
          <w:color w:val="0000FF"/>
          <w:lang w:val="fr-FR" w:eastAsia="fr-FR"/>
        </w:rPr>
        <w:drawing>
          <wp:inline distT="0" distB="0" distL="0" distR="0" wp14:anchorId="093D1BEF" wp14:editId="086563E6">
            <wp:extent cx="1027430" cy="862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30" cy="862965"/>
                    </a:xfrm>
                    <a:prstGeom prst="rect">
                      <a:avLst/>
                    </a:prstGeom>
                    <a:solidFill>
                      <a:srgbClr val="FFFFFF"/>
                    </a:solidFill>
                    <a:ln>
                      <a:noFill/>
                    </a:ln>
                  </pic:spPr>
                </pic:pic>
              </a:graphicData>
            </a:graphic>
          </wp:inline>
        </w:drawing>
      </w:r>
    </w:p>
    <w:p w:rsidR="00C9487F" w:rsidRDefault="00C9487F" w:rsidP="00923952">
      <w:pPr>
        <w:spacing w:after="0" w:line="360" w:lineRule="auto"/>
        <w:jc w:val="center"/>
        <w:rPr>
          <w:rFonts w:ascii="Arial" w:hAnsi="Arial" w:cs="Arial"/>
          <w:b/>
        </w:rPr>
      </w:pPr>
    </w:p>
    <w:p w:rsidR="00F67902" w:rsidRDefault="00F67902" w:rsidP="00923952">
      <w:pPr>
        <w:spacing w:after="0" w:line="360" w:lineRule="auto"/>
        <w:jc w:val="center"/>
        <w:rPr>
          <w:rFonts w:ascii="Arial" w:hAnsi="Arial" w:cs="Arial"/>
          <w:b/>
        </w:rPr>
      </w:pPr>
      <w:r w:rsidRPr="003125BF">
        <w:rPr>
          <w:rFonts w:ascii="Arial" w:hAnsi="Arial" w:cs="Arial"/>
          <w:b/>
        </w:rPr>
        <w:t xml:space="preserve">PRESS RELEASE </w:t>
      </w:r>
      <w:r w:rsidR="003125BF">
        <w:rPr>
          <w:rFonts w:ascii="Arial" w:hAnsi="Arial" w:cs="Arial"/>
          <w:b/>
        </w:rPr>
        <w:br/>
      </w:r>
    </w:p>
    <w:p w:rsidR="0066309E" w:rsidRPr="0066309E" w:rsidRDefault="006D07F4" w:rsidP="0066309E">
      <w:pPr>
        <w:spacing w:after="0" w:line="360" w:lineRule="auto"/>
        <w:jc w:val="center"/>
        <w:rPr>
          <w:rFonts w:ascii="Arial" w:hAnsi="Arial" w:cs="Arial"/>
          <w:b/>
          <w:sz w:val="24"/>
        </w:rPr>
      </w:pPr>
      <w:r>
        <w:rPr>
          <w:rFonts w:ascii="Arial" w:hAnsi="Arial" w:cs="Arial"/>
          <w:b/>
          <w:sz w:val="24"/>
        </w:rPr>
        <w:t>IAB Europe White P</w:t>
      </w:r>
      <w:r w:rsidR="0066309E" w:rsidRPr="0066309E">
        <w:rPr>
          <w:rFonts w:ascii="Arial" w:hAnsi="Arial" w:cs="Arial"/>
          <w:b/>
          <w:sz w:val="24"/>
        </w:rPr>
        <w:t xml:space="preserve">aper reveals trends in trading on viewable impressions across varied European </w:t>
      </w:r>
      <w:r w:rsidR="0066309E">
        <w:rPr>
          <w:rFonts w:ascii="Arial" w:hAnsi="Arial" w:cs="Arial"/>
          <w:b/>
          <w:sz w:val="24"/>
        </w:rPr>
        <w:t>markets</w:t>
      </w:r>
      <w:r w:rsidR="003125BF">
        <w:rPr>
          <w:rFonts w:ascii="Arial" w:hAnsi="Arial" w:cs="Arial"/>
          <w:b/>
          <w:sz w:val="24"/>
        </w:rPr>
        <w:br/>
      </w:r>
    </w:p>
    <w:p w:rsidR="0066309E" w:rsidRPr="0066309E" w:rsidRDefault="0066309E" w:rsidP="0066309E">
      <w:pPr>
        <w:spacing w:after="0" w:line="360" w:lineRule="auto"/>
        <w:jc w:val="center"/>
        <w:rPr>
          <w:rFonts w:ascii="Arial" w:hAnsi="Arial" w:cs="Arial"/>
          <w:b/>
        </w:rPr>
      </w:pPr>
      <w:r w:rsidRPr="0066309E">
        <w:rPr>
          <w:rFonts w:ascii="Arial" w:hAnsi="Arial" w:cs="Arial"/>
          <w:b/>
        </w:rPr>
        <w:t xml:space="preserve">Stakeholders come together </w:t>
      </w:r>
      <w:r w:rsidR="006D07F4">
        <w:rPr>
          <w:rFonts w:ascii="Arial" w:hAnsi="Arial" w:cs="Arial"/>
          <w:b/>
        </w:rPr>
        <w:t>to deliver next</w:t>
      </w:r>
      <w:r w:rsidRPr="0066309E">
        <w:rPr>
          <w:rFonts w:ascii="Arial" w:hAnsi="Arial" w:cs="Arial"/>
          <w:b/>
        </w:rPr>
        <w:t xml:space="preserve"> stage of IAB Europe’s Brand Advertising Framework for European </w:t>
      </w:r>
      <w:r>
        <w:rPr>
          <w:rFonts w:ascii="Arial" w:hAnsi="Arial" w:cs="Arial"/>
          <w:b/>
        </w:rPr>
        <w:t>digital advertising industry</w:t>
      </w:r>
    </w:p>
    <w:p w:rsidR="00D90241" w:rsidRPr="00AD3FF0" w:rsidRDefault="00D90241" w:rsidP="00923952">
      <w:pPr>
        <w:spacing w:after="0" w:line="360" w:lineRule="auto"/>
        <w:jc w:val="center"/>
        <w:rPr>
          <w:rFonts w:ascii="Arial" w:hAnsi="Arial" w:cs="Arial"/>
          <w:b/>
        </w:rPr>
      </w:pPr>
    </w:p>
    <w:p w:rsidR="00F67902" w:rsidRDefault="008020A8" w:rsidP="00923952">
      <w:pPr>
        <w:spacing w:after="0" w:line="360" w:lineRule="auto"/>
        <w:rPr>
          <w:rFonts w:ascii="Arial" w:hAnsi="Arial" w:cs="Arial"/>
        </w:rPr>
      </w:pPr>
      <w:r w:rsidRPr="00AD3FF0">
        <w:rPr>
          <w:rFonts w:ascii="Arial" w:hAnsi="Arial" w:cs="Arial"/>
          <w:b/>
        </w:rPr>
        <w:t>Brussels,</w:t>
      </w:r>
      <w:r w:rsidRPr="00AD3FF0">
        <w:rPr>
          <w:rFonts w:ascii="Arial" w:hAnsi="Arial" w:cs="Arial"/>
        </w:rPr>
        <w:t xml:space="preserve"> </w:t>
      </w:r>
      <w:r w:rsidR="006B72A5" w:rsidRPr="00AD3FF0">
        <w:rPr>
          <w:rFonts w:ascii="Arial" w:hAnsi="Arial" w:cs="Arial"/>
          <w:b/>
        </w:rPr>
        <w:t>11 February 2015</w:t>
      </w:r>
      <w:r w:rsidRPr="00AD3FF0">
        <w:rPr>
          <w:rFonts w:ascii="Arial" w:hAnsi="Arial" w:cs="Arial"/>
        </w:rPr>
        <w:t xml:space="preserve"> – </w:t>
      </w:r>
      <w:r w:rsidR="006B72A5" w:rsidRPr="00AD3FF0">
        <w:rPr>
          <w:rFonts w:ascii="Arial" w:hAnsi="Arial" w:cs="Arial"/>
        </w:rPr>
        <w:t xml:space="preserve">The Interactive Advertising Bureau Europe (IAB Europe) </w:t>
      </w:r>
      <w:r w:rsidR="00923952" w:rsidRPr="00AD3FF0">
        <w:rPr>
          <w:rFonts w:ascii="Arial" w:hAnsi="Arial" w:cs="Arial"/>
        </w:rPr>
        <w:t xml:space="preserve">has published a White </w:t>
      </w:r>
      <w:r w:rsidR="00E42FBA" w:rsidRPr="00AD3FF0">
        <w:rPr>
          <w:rFonts w:ascii="Arial" w:hAnsi="Arial" w:cs="Arial"/>
        </w:rPr>
        <w:t>Paper on viewable i</w:t>
      </w:r>
      <w:r w:rsidR="00923952" w:rsidRPr="00AD3FF0">
        <w:rPr>
          <w:rFonts w:ascii="Arial" w:hAnsi="Arial" w:cs="Arial"/>
        </w:rPr>
        <w:t xml:space="preserve">mpressions today </w:t>
      </w:r>
      <w:r w:rsidR="00F67902">
        <w:rPr>
          <w:rFonts w:ascii="Arial" w:hAnsi="Arial" w:cs="Arial"/>
        </w:rPr>
        <w:t xml:space="preserve">as an important step in its strategy to drive brand investment into digital advertising. The White Paper aims </w:t>
      </w:r>
      <w:r w:rsidR="00F67902" w:rsidRPr="00AD3FF0">
        <w:rPr>
          <w:rFonts w:ascii="Arial" w:hAnsi="Arial" w:cs="Arial"/>
        </w:rPr>
        <w:t>to educate and foster confidence in this specific aspect of digital advertising trading</w:t>
      </w:r>
      <w:r w:rsidR="00F67902">
        <w:rPr>
          <w:rFonts w:ascii="Arial" w:hAnsi="Arial" w:cs="Arial"/>
        </w:rPr>
        <w:t xml:space="preserve"> and lays the groundwork for further reflection on recommendations for the European industry with local IABs, measurement organisations and suppliers. </w:t>
      </w:r>
    </w:p>
    <w:p w:rsidR="00E42FBA" w:rsidRPr="00AD3FF0" w:rsidRDefault="00E42FBA" w:rsidP="00AD21C2">
      <w:pPr>
        <w:spacing w:after="0" w:line="360" w:lineRule="auto"/>
        <w:rPr>
          <w:rFonts w:ascii="Arial" w:hAnsi="Arial" w:cs="Arial"/>
        </w:rPr>
      </w:pPr>
    </w:p>
    <w:p w:rsidR="00AD21C2" w:rsidRPr="00AD3FF0" w:rsidRDefault="00AD21C2" w:rsidP="00AD21C2">
      <w:pPr>
        <w:spacing w:after="0" w:line="360" w:lineRule="auto"/>
        <w:rPr>
          <w:rFonts w:ascii="Arial" w:hAnsi="Arial" w:cs="Arial"/>
          <w:lang w:val="en-US"/>
        </w:rPr>
      </w:pPr>
      <w:proofErr w:type="spellStart"/>
      <w:r w:rsidRPr="00AD3FF0">
        <w:rPr>
          <w:rFonts w:ascii="Arial" w:hAnsi="Arial" w:cs="Arial"/>
        </w:rPr>
        <w:t>Viewability</w:t>
      </w:r>
      <w:proofErr w:type="spellEnd"/>
      <w:r w:rsidRPr="00AD3FF0">
        <w:rPr>
          <w:rFonts w:ascii="Arial" w:hAnsi="Arial" w:cs="Arial"/>
        </w:rPr>
        <w:t xml:space="preserve"> is one of a range of digital metrics which are evolving rapidly and manifested differently across European markets of varied characteristics and levels of digital development. A recent Metrics and KPIs survey</w:t>
      </w:r>
      <w:r w:rsidR="00457D0A">
        <w:rPr>
          <w:rFonts w:ascii="Arial" w:hAnsi="Arial" w:cs="Arial"/>
          <w:vertAlign w:val="superscript"/>
        </w:rPr>
        <w:t>1</w:t>
      </w:r>
      <w:r w:rsidRPr="00AD3FF0">
        <w:rPr>
          <w:rFonts w:ascii="Arial" w:hAnsi="Arial" w:cs="Arial"/>
        </w:rPr>
        <w:t xml:space="preserve"> undertaken by IAB Europe </w:t>
      </w:r>
      <w:r w:rsidR="00E42FBA" w:rsidRPr="00AD3FF0">
        <w:rPr>
          <w:rFonts w:ascii="Arial" w:hAnsi="Arial" w:cs="Arial"/>
        </w:rPr>
        <w:t>revealed</w:t>
      </w:r>
      <w:r w:rsidRPr="00AD3FF0">
        <w:rPr>
          <w:rFonts w:ascii="Arial" w:hAnsi="Arial" w:cs="Arial"/>
        </w:rPr>
        <w:t xml:space="preserve"> that </w:t>
      </w:r>
      <w:r w:rsidRPr="00AD3FF0">
        <w:rPr>
          <w:rFonts w:ascii="Arial" w:hAnsi="Arial" w:cs="Arial"/>
          <w:lang w:val="en-US"/>
        </w:rPr>
        <w:t xml:space="preserve">84% of </w:t>
      </w:r>
      <w:r w:rsidR="00F67902">
        <w:rPr>
          <w:rFonts w:ascii="Arial" w:hAnsi="Arial" w:cs="Arial"/>
          <w:lang w:val="en-US"/>
        </w:rPr>
        <w:t>brand advertisers</w:t>
      </w:r>
      <w:r w:rsidRPr="00AD3FF0">
        <w:rPr>
          <w:rFonts w:ascii="Arial" w:hAnsi="Arial" w:cs="Arial"/>
          <w:lang w:val="en-US"/>
        </w:rPr>
        <w:t xml:space="preserve"> stated that they want to see a move towards viewable impressions rather than served impressions. </w:t>
      </w:r>
      <w:r w:rsidR="00E42FBA" w:rsidRPr="00AD3FF0">
        <w:rPr>
          <w:rFonts w:ascii="Arial" w:hAnsi="Arial" w:cs="Arial"/>
          <w:lang w:val="en-US"/>
        </w:rPr>
        <w:t>The White Paper is part of the Metrics and KPIs pillar of IAB Europe’s Brand Advertising Framework</w:t>
      </w:r>
      <w:r w:rsidR="00457D0A">
        <w:rPr>
          <w:rFonts w:ascii="Arial" w:hAnsi="Arial" w:cs="Arial"/>
          <w:vertAlign w:val="superscript"/>
          <w:lang w:val="en-US"/>
        </w:rPr>
        <w:t>2</w:t>
      </w:r>
      <w:r w:rsidR="00E42FBA" w:rsidRPr="00AD3FF0">
        <w:rPr>
          <w:rFonts w:ascii="Arial" w:hAnsi="Arial" w:cs="Arial"/>
          <w:lang w:val="en-US"/>
        </w:rPr>
        <w:t xml:space="preserve">. </w:t>
      </w:r>
    </w:p>
    <w:p w:rsidR="00F67902" w:rsidRDefault="00F67902" w:rsidP="00F67902">
      <w:pPr>
        <w:spacing w:after="0" w:line="360" w:lineRule="auto"/>
        <w:rPr>
          <w:rFonts w:ascii="Arial" w:hAnsi="Arial" w:cs="Arial"/>
        </w:rPr>
      </w:pPr>
    </w:p>
    <w:p w:rsidR="00F67902" w:rsidRPr="00F67902" w:rsidRDefault="00F67902" w:rsidP="00F67902">
      <w:pPr>
        <w:spacing w:after="0" w:line="360" w:lineRule="auto"/>
        <w:rPr>
          <w:rFonts w:ascii="Arial" w:hAnsi="Arial" w:cs="Arial"/>
        </w:rPr>
      </w:pPr>
      <w:r w:rsidRPr="00F67902">
        <w:rPr>
          <w:rFonts w:ascii="Arial" w:hAnsi="Arial" w:cs="Arial"/>
        </w:rPr>
        <w:t xml:space="preserve">The IAB Europe White Paper on viewable impressions </w:t>
      </w:r>
      <w:r>
        <w:rPr>
          <w:rFonts w:ascii="Arial" w:hAnsi="Arial" w:cs="Arial"/>
        </w:rPr>
        <w:t xml:space="preserve">brings together </w:t>
      </w:r>
      <w:r w:rsidRPr="00AD3FF0">
        <w:rPr>
          <w:rFonts w:ascii="Arial" w:hAnsi="Arial" w:cs="Arial"/>
        </w:rPr>
        <w:t>a range of leading industry experts</w:t>
      </w:r>
      <w:r w:rsidR="00457D0A">
        <w:rPr>
          <w:rFonts w:ascii="Arial" w:hAnsi="Arial" w:cs="Arial"/>
          <w:vertAlign w:val="superscript"/>
        </w:rPr>
        <w:t>3</w:t>
      </w:r>
      <w:r>
        <w:rPr>
          <w:rFonts w:ascii="Arial" w:hAnsi="Arial" w:cs="Arial"/>
          <w:vertAlign w:val="superscript"/>
        </w:rPr>
        <w:t xml:space="preserve"> </w:t>
      </w:r>
      <w:r>
        <w:rPr>
          <w:rFonts w:ascii="Arial" w:hAnsi="Arial" w:cs="Arial"/>
        </w:rPr>
        <w:t>to provide</w:t>
      </w:r>
      <w:r w:rsidRPr="00F67902">
        <w:rPr>
          <w:rFonts w:ascii="Arial" w:hAnsi="Arial" w:cs="Arial"/>
        </w:rPr>
        <w:t>:</w:t>
      </w:r>
    </w:p>
    <w:p w:rsidR="00F67902" w:rsidRDefault="00F67902" w:rsidP="00F67902">
      <w:pPr>
        <w:pStyle w:val="Paragraphedeliste"/>
        <w:numPr>
          <w:ilvl w:val="0"/>
          <w:numId w:val="6"/>
        </w:numPr>
        <w:spacing w:after="0" w:line="360" w:lineRule="auto"/>
        <w:rPr>
          <w:rFonts w:ascii="Arial" w:hAnsi="Arial" w:cs="Arial"/>
        </w:rPr>
      </w:pPr>
      <w:r w:rsidRPr="00F67902">
        <w:rPr>
          <w:rFonts w:ascii="Arial" w:hAnsi="Arial" w:cs="Arial"/>
        </w:rPr>
        <w:t xml:space="preserve">an overview of the current status of viewable impressions </w:t>
      </w:r>
      <w:r>
        <w:rPr>
          <w:rFonts w:ascii="Arial" w:hAnsi="Arial" w:cs="Arial"/>
        </w:rPr>
        <w:t>across Europe</w:t>
      </w:r>
    </w:p>
    <w:p w:rsidR="00F67902" w:rsidRDefault="00F67902" w:rsidP="00F67902">
      <w:pPr>
        <w:pStyle w:val="Paragraphedeliste"/>
        <w:numPr>
          <w:ilvl w:val="0"/>
          <w:numId w:val="6"/>
        </w:numPr>
        <w:spacing w:after="0" w:line="360" w:lineRule="auto"/>
        <w:rPr>
          <w:rFonts w:ascii="Arial" w:hAnsi="Arial" w:cs="Arial"/>
        </w:rPr>
      </w:pPr>
      <w:r>
        <w:rPr>
          <w:rFonts w:ascii="Arial" w:hAnsi="Arial" w:cs="Arial"/>
        </w:rPr>
        <w:t xml:space="preserve">the position of viewable impressions within the context of the wider metrics portfolio </w:t>
      </w:r>
    </w:p>
    <w:p w:rsidR="000B341C" w:rsidRDefault="000B341C" w:rsidP="00F67902">
      <w:pPr>
        <w:pStyle w:val="Paragraphedeliste"/>
        <w:numPr>
          <w:ilvl w:val="0"/>
          <w:numId w:val="6"/>
        </w:numPr>
        <w:spacing w:after="0" w:line="360" w:lineRule="auto"/>
        <w:rPr>
          <w:rFonts w:ascii="Arial" w:hAnsi="Arial" w:cs="Arial"/>
        </w:rPr>
      </w:pPr>
      <w:r>
        <w:rPr>
          <w:rFonts w:ascii="Arial" w:hAnsi="Arial" w:cs="Arial"/>
        </w:rPr>
        <w:t>perspectives from different stakeholders groups within the digital advertising ecosystem</w:t>
      </w:r>
    </w:p>
    <w:p w:rsidR="00F67902" w:rsidRPr="00F67902" w:rsidRDefault="00F67902" w:rsidP="00F67902">
      <w:pPr>
        <w:pStyle w:val="Paragraphedeliste"/>
        <w:numPr>
          <w:ilvl w:val="0"/>
          <w:numId w:val="6"/>
        </w:numPr>
        <w:spacing w:after="0" w:line="360" w:lineRule="auto"/>
        <w:rPr>
          <w:rFonts w:ascii="Arial" w:hAnsi="Arial" w:cs="Arial"/>
        </w:rPr>
      </w:pPr>
      <w:r w:rsidRPr="00F67902">
        <w:rPr>
          <w:rFonts w:ascii="Arial" w:hAnsi="Arial" w:cs="Arial"/>
        </w:rPr>
        <w:t>key definitions and terms</w:t>
      </w:r>
    </w:p>
    <w:p w:rsidR="00F67902" w:rsidRDefault="00F67902" w:rsidP="00F67902">
      <w:pPr>
        <w:pStyle w:val="Paragraphedeliste"/>
        <w:numPr>
          <w:ilvl w:val="0"/>
          <w:numId w:val="6"/>
        </w:numPr>
        <w:spacing w:after="0" w:line="360" w:lineRule="auto"/>
        <w:rPr>
          <w:rFonts w:ascii="Arial" w:hAnsi="Arial" w:cs="Arial"/>
        </w:rPr>
      </w:pPr>
      <w:r>
        <w:rPr>
          <w:rFonts w:ascii="Arial" w:hAnsi="Arial" w:cs="Arial"/>
        </w:rPr>
        <w:t>a list of technical and commercial considerations for trading</w:t>
      </w:r>
      <w:r w:rsidRPr="00F67902">
        <w:rPr>
          <w:rFonts w:ascii="Arial" w:hAnsi="Arial" w:cs="Arial"/>
        </w:rPr>
        <w:t xml:space="preserve"> </w:t>
      </w:r>
    </w:p>
    <w:p w:rsidR="000B341C" w:rsidRDefault="000B341C" w:rsidP="00F67902">
      <w:pPr>
        <w:pStyle w:val="Paragraphedeliste"/>
        <w:numPr>
          <w:ilvl w:val="0"/>
          <w:numId w:val="6"/>
        </w:numPr>
        <w:spacing w:after="0" w:line="360" w:lineRule="auto"/>
        <w:rPr>
          <w:rFonts w:ascii="Arial" w:hAnsi="Arial" w:cs="Arial"/>
        </w:rPr>
      </w:pPr>
      <w:r>
        <w:rPr>
          <w:rFonts w:ascii="Arial" w:hAnsi="Arial" w:cs="Arial"/>
        </w:rPr>
        <w:t>other quality considerations</w:t>
      </w:r>
    </w:p>
    <w:p w:rsidR="000B341C" w:rsidRPr="00F67902" w:rsidRDefault="000B341C" w:rsidP="000B341C">
      <w:pPr>
        <w:pStyle w:val="Paragraphedeliste"/>
        <w:spacing w:after="0" w:line="360" w:lineRule="auto"/>
        <w:rPr>
          <w:rFonts w:ascii="Arial" w:hAnsi="Arial" w:cs="Arial"/>
        </w:rPr>
      </w:pPr>
    </w:p>
    <w:p w:rsidR="00F67902" w:rsidRDefault="00F67902" w:rsidP="00F67902">
      <w:pPr>
        <w:spacing w:after="0" w:line="360" w:lineRule="auto"/>
        <w:rPr>
          <w:rFonts w:ascii="Arial" w:hAnsi="Arial" w:cs="Arial"/>
        </w:rPr>
      </w:pPr>
    </w:p>
    <w:p w:rsidR="006B72A5" w:rsidRPr="000B341C" w:rsidRDefault="006B72A5" w:rsidP="00923952">
      <w:pPr>
        <w:spacing w:after="0" w:line="360" w:lineRule="auto"/>
        <w:rPr>
          <w:rFonts w:ascii="Arial" w:hAnsi="Arial" w:cs="Arial"/>
          <w:i/>
        </w:rPr>
      </w:pPr>
      <w:r w:rsidRPr="00AD3FF0">
        <w:rPr>
          <w:rFonts w:ascii="Arial" w:hAnsi="Arial" w:cs="Arial"/>
          <w:i/>
        </w:rPr>
        <w:t xml:space="preserve">“Whilst digital ad spend has grown four-fold since IAB Europe started its </w:t>
      </w:r>
      <w:proofErr w:type="spellStart"/>
      <w:r w:rsidRPr="00AD3FF0">
        <w:rPr>
          <w:rFonts w:ascii="Arial" w:hAnsi="Arial" w:cs="Arial"/>
          <w:i/>
        </w:rPr>
        <w:t>AdEx</w:t>
      </w:r>
      <w:proofErr w:type="spellEnd"/>
      <w:r w:rsidRPr="00AD3FF0">
        <w:rPr>
          <w:rFonts w:ascii="Arial" w:hAnsi="Arial" w:cs="Arial"/>
          <w:i/>
        </w:rPr>
        <w:t xml:space="preserve"> Benchmark report</w:t>
      </w:r>
      <w:r w:rsidR="00A9497D" w:rsidRPr="00AD3FF0">
        <w:rPr>
          <w:rFonts w:ascii="Arial" w:hAnsi="Arial" w:cs="Arial"/>
          <w:i/>
          <w:vertAlign w:val="superscript"/>
        </w:rPr>
        <w:t>4</w:t>
      </w:r>
      <w:r w:rsidRPr="00AD3FF0">
        <w:rPr>
          <w:rFonts w:ascii="Arial" w:hAnsi="Arial" w:cs="Arial"/>
          <w:i/>
        </w:rPr>
        <w:t xml:space="preserve"> in 2006 there are still several commonly acknowledged challenges which hold back further growth and measurement is one of these”</w:t>
      </w:r>
      <w:r w:rsidRPr="00AD3FF0">
        <w:rPr>
          <w:rFonts w:ascii="Arial" w:hAnsi="Arial" w:cs="Arial"/>
        </w:rPr>
        <w:t xml:space="preserve"> said </w:t>
      </w:r>
      <w:r w:rsidRPr="00AD3FF0">
        <w:rPr>
          <w:rFonts w:ascii="Arial" w:hAnsi="Arial" w:cs="Arial"/>
          <w:b/>
        </w:rPr>
        <w:t>Karim Attia, Chairman of the IAB Europe Brand Advertising Committee and CEO, nugg.ad</w:t>
      </w:r>
      <w:r w:rsidRPr="00AD3FF0">
        <w:rPr>
          <w:rFonts w:ascii="Arial" w:hAnsi="Arial" w:cs="Arial"/>
        </w:rPr>
        <w:t>.</w:t>
      </w:r>
      <w:r w:rsidRPr="00AD3FF0">
        <w:rPr>
          <w:rFonts w:ascii="Arial" w:hAnsi="Arial" w:cs="Arial"/>
          <w:i/>
        </w:rPr>
        <w:t xml:space="preserve">  “This White Paper aims to address the area of viewable impressions measurement specifically</w:t>
      </w:r>
      <w:r w:rsidR="0003264B">
        <w:rPr>
          <w:rFonts w:ascii="Arial" w:hAnsi="Arial" w:cs="Arial"/>
          <w:i/>
        </w:rPr>
        <w:t xml:space="preserve"> and will be followed with market consultations. During the year</w:t>
      </w:r>
      <w:r w:rsidRPr="00AD3FF0">
        <w:rPr>
          <w:rFonts w:ascii="Arial" w:hAnsi="Arial" w:cs="Arial"/>
          <w:i/>
        </w:rPr>
        <w:t xml:space="preserve"> other initiatives </w:t>
      </w:r>
      <w:r w:rsidR="0003264B">
        <w:rPr>
          <w:rFonts w:ascii="Arial" w:hAnsi="Arial" w:cs="Arial"/>
          <w:i/>
        </w:rPr>
        <w:t>such as the IAB Europe M</w:t>
      </w:r>
      <w:r w:rsidRPr="00AD3FF0">
        <w:rPr>
          <w:rFonts w:ascii="Arial" w:hAnsi="Arial" w:cs="Arial"/>
          <w:i/>
        </w:rPr>
        <w:t xml:space="preserve">easurement </w:t>
      </w:r>
      <w:r w:rsidR="0003264B">
        <w:rPr>
          <w:rFonts w:ascii="Arial" w:hAnsi="Arial" w:cs="Arial"/>
          <w:i/>
        </w:rPr>
        <w:t>B</w:t>
      </w:r>
      <w:r w:rsidR="00E42FBA" w:rsidRPr="00AD3FF0">
        <w:rPr>
          <w:rFonts w:ascii="Arial" w:hAnsi="Arial" w:cs="Arial"/>
          <w:i/>
        </w:rPr>
        <w:t xml:space="preserve">lueprint and </w:t>
      </w:r>
      <w:r w:rsidR="0003264B">
        <w:rPr>
          <w:rFonts w:ascii="Arial" w:hAnsi="Arial" w:cs="Arial"/>
          <w:i/>
        </w:rPr>
        <w:t>wider Q</w:t>
      </w:r>
      <w:r w:rsidR="00973633" w:rsidRPr="00AD3FF0">
        <w:rPr>
          <w:rFonts w:ascii="Arial" w:hAnsi="Arial" w:cs="Arial"/>
          <w:i/>
        </w:rPr>
        <w:t>uality</w:t>
      </w:r>
      <w:r w:rsidR="00E42FBA" w:rsidRPr="00AD3FF0">
        <w:rPr>
          <w:rFonts w:ascii="Arial" w:hAnsi="Arial" w:cs="Arial"/>
          <w:i/>
        </w:rPr>
        <w:t xml:space="preserve"> topics including environment and delivery</w:t>
      </w:r>
      <w:r w:rsidR="00973633" w:rsidRPr="00AD3FF0">
        <w:rPr>
          <w:rFonts w:ascii="Arial" w:hAnsi="Arial" w:cs="Arial"/>
          <w:i/>
        </w:rPr>
        <w:t xml:space="preserve"> </w:t>
      </w:r>
      <w:r w:rsidR="0003264B">
        <w:rPr>
          <w:rFonts w:ascii="Arial" w:hAnsi="Arial" w:cs="Arial"/>
          <w:i/>
        </w:rPr>
        <w:t>will be</w:t>
      </w:r>
      <w:r w:rsidRPr="00AD3FF0">
        <w:rPr>
          <w:rFonts w:ascii="Arial" w:hAnsi="Arial" w:cs="Arial"/>
          <w:i/>
        </w:rPr>
        <w:t xml:space="preserve"> developed within the Brand Advertising Committee</w:t>
      </w:r>
      <w:r w:rsidR="00E42FBA" w:rsidRPr="00AD3FF0">
        <w:rPr>
          <w:rFonts w:ascii="Arial" w:hAnsi="Arial" w:cs="Arial"/>
          <w:i/>
        </w:rPr>
        <w:t>.”</w:t>
      </w:r>
    </w:p>
    <w:p w:rsidR="00923952" w:rsidRPr="00AD3FF0" w:rsidRDefault="00923952" w:rsidP="00923952">
      <w:pPr>
        <w:spacing w:after="0" w:line="360" w:lineRule="auto"/>
        <w:rPr>
          <w:rFonts w:ascii="Arial" w:hAnsi="Arial" w:cs="Arial"/>
        </w:rPr>
      </w:pPr>
    </w:p>
    <w:p w:rsidR="00817484" w:rsidRPr="00AD3FF0" w:rsidRDefault="00817484" w:rsidP="00817484">
      <w:pPr>
        <w:spacing w:after="0" w:line="360" w:lineRule="auto"/>
        <w:rPr>
          <w:rFonts w:ascii="Arial" w:hAnsi="Arial" w:cs="Arial"/>
          <w:i/>
        </w:rPr>
      </w:pPr>
      <w:r w:rsidRPr="00AD3FF0">
        <w:rPr>
          <w:rFonts w:ascii="Arial" w:hAnsi="Arial" w:cs="Arial"/>
          <w:i/>
        </w:rPr>
        <w:t>“</w:t>
      </w:r>
      <w:r w:rsidR="00973633" w:rsidRPr="00AD3FF0">
        <w:rPr>
          <w:rFonts w:ascii="Arial" w:hAnsi="Arial" w:cs="Arial"/>
          <w:i/>
        </w:rPr>
        <w:t>IAB</w:t>
      </w:r>
      <w:r w:rsidRPr="00AD3FF0">
        <w:rPr>
          <w:rFonts w:ascii="Arial" w:hAnsi="Arial" w:cs="Arial"/>
          <w:i/>
        </w:rPr>
        <w:t xml:space="preserve"> Europe</w:t>
      </w:r>
      <w:r w:rsidR="00973633" w:rsidRPr="00AD3FF0">
        <w:rPr>
          <w:rFonts w:ascii="Arial" w:hAnsi="Arial" w:cs="Arial"/>
          <w:i/>
        </w:rPr>
        <w:t xml:space="preserve">’s White Paper </w:t>
      </w:r>
      <w:r w:rsidRPr="00AD3FF0">
        <w:rPr>
          <w:rFonts w:ascii="Arial" w:hAnsi="Arial" w:cs="Arial"/>
          <w:i/>
        </w:rPr>
        <w:t>is an important step in i</w:t>
      </w:r>
      <w:r w:rsidR="00E42FBA" w:rsidRPr="00AD3FF0">
        <w:rPr>
          <w:rFonts w:ascii="Arial" w:hAnsi="Arial" w:cs="Arial"/>
          <w:i/>
        </w:rPr>
        <w:t>ncreasing the understanding of viewable i</w:t>
      </w:r>
      <w:r w:rsidRPr="00AD3FF0">
        <w:rPr>
          <w:rFonts w:ascii="Arial" w:hAnsi="Arial" w:cs="Arial"/>
          <w:i/>
        </w:rPr>
        <w:t>mpressions and how they fit into the overall metrics landscape</w:t>
      </w:r>
      <w:r w:rsidR="00234A26" w:rsidRPr="00AD3FF0">
        <w:rPr>
          <w:rFonts w:ascii="Arial" w:hAnsi="Arial" w:cs="Arial"/>
        </w:rPr>
        <w:t>,” said</w:t>
      </w:r>
      <w:r w:rsidR="00992762" w:rsidRPr="00AD3FF0">
        <w:rPr>
          <w:rFonts w:ascii="Arial" w:hAnsi="Arial" w:cs="Arial"/>
        </w:rPr>
        <w:t xml:space="preserve"> </w:t>
      </w:r>
      <w:r w:rsidR="00992762" w:rsidRPr="00AD3FF0">
        <w:rPr>
          <w:rFonts w:ascii="Arial" w:hAnsi="Arial" w:cs="Arial"/>
          <w:b/>
        </w:rPr>
        <w:t xml:space="preserve">Bjorn </w:t>
      </w:r>
      <w:proofErr w:type="spellStart"/>
      <w:r w:rsidR="00992762" w:rsidRPr="00AD3FF0">
        <w:rPr>
          <w:rFonts w:ascii="Arial" w:hAnsi="Arial" w:cs="Arial"/>
          <w:b/>
        </w:rPr>
        <w:t>Kaspring</w:t>
      </w:r>
      <w:proofErr w:type="spellEnd"/>
      <w:r w:rsidR="00992762" w:rsidRPr="00AD3FF0">
        <w:rPr>
          <w:rFonts w:ascii="Arial" w:hAnsi="Arial" w:cs="Arial"/>
          <w:b/>
        </w:rPr>
        <w:t xml:space="preserve">, </w:t>
      </w:r>
      <w:r w:rsidR="00D40639" w:rsidRPr="00AD3FF0">
        <w:rPr>
          <w:rFonts w:ascii="Arial" w:hAnsi="Arial" w:cs="Arial"/>
          <w:b/>
        </w:rPr>
        <w:t xml:space="preserve">BVDW / IAB Germany member and </w:t>
      </w:r>
      <w:r w:rsidR="00992762" w:rsidRPr="00AD3FF0">
        <w:rPr>
          <w:rFonts w:ascii="Arial" w:hAnsi="Arial" w:cs="Arial"/>
          <w:b/>
        </w:rPr>
        <w:t>Head of Premium Display, Interactive Media</w:t>
      </w:r>
      <w:r w:rsidR="00992762" w:rsidRPr="00AD3FF0">
        <w:rPr>
          <w:rFonts w:ascii="Arial" w:hAnsi="Arial" w:cs="Arial"/>
        </w:rPr>
        <w:t xml:space="preserve"> “</w:t>
      </w:r>
      <w:r w:rsidRPr="00AD3FF0">
        <w:rPr>
          <w:rFonts w:ascii="Arial" w:hAnsi="Arial" w:cs="Arial"/>
          <w:i/>
        </w:rPr>
        <w:t xml:space="preserve">Clarifying </w:t>
      </w:r>
      <w:r w:rsidR="00E42FBA" w:rsidRPr="00AD3FF0">
        <w:rPr>
          <w:rFonts w:ascii="Arial" w:hAnsi="Arial" w:cs="Arial"/>
          <w:i/>
        </w:rPr>
        <w:t xml:space="preserve">definitions and </w:t>
      </w:r>
      <w:r w:rsidRPr="00AD3FF0">
        <w:rPr>
          <w:rFonts w:ascii="Arial" w:hAnsi="Arial" w:cs="Arial"/>
          <w:i/>
        </w:rPr>
        <w:t xml:space="preserve">terms </w:t>
      </w:r>
      <w:r w:rsidR="00E42FBA" w:rsidRPr="00AD3FF0">
        <w:rPr>
          <w:rFonts w:ascii="Arial" w:hAnsi="Arial" w:cs="Arial"/>
          <w:i/>
        </w:rPr>
        <w:t xml:space="preserve">is important </w:t>
      </w:r>
      <w:r w:rsidRPr="00AD3FF0">
        <w:rPr>
          <w:rFonts w:ascii="Arial" w:hAnsi="Arial" w:cs="Arial"/>
          <w:i/>
        </w:rPr>
        <w:t xml:space="preserve">to </w:t>
      </w:r>
      <w:r w:rsidR="005F69AE" w:rsidRPr="00AD3FF0">
        <w:rPr>
          <w:rFonts w:ascii="Arial" w:hAnsi="Arial" w:cs="Arial"/>
          <w:i/>
        </w:rPr>
        <w:t>bolster</w:t>
      </w:r>
      <w:r w:rsidRPr="00AD3FF0">
        <w:rPr>
          <w:rFonts w:ascii="Arial" w:hAnsi="Arial" w:cs="Arial"/>
          <w:i/>
        </w:rPr>
        <w:t xml:space="preserve"> digital advertising investment from brand advertisers.”</w:t>
      </w:r>
    </w:p>
    <w:p w:rsidR="008D615E" w:rsidRPr="00AD3FF0" w:rsidRDefault="008D615E" w:rsidP="008D615E">
      <w:pPr>
        <w:spacing w:after="0" w:line="360" w:lineRule="auto"/>
        <w:rPr>
          <w:rFonts w:ascii="Arial" w:hAnsi="Arial" w:cs="Arial"/>
          <w:lang w:val="en-US"/>
        </w:rPr>
      </w:pPr>
    </w:p>
    <w:p w:rsidR="00E42FBA" w:rsidRPr="00AD3FF0" w:rsidRDefault="00836A02" w:rsidP="008D615E">
      <w:pPr>
        <w:spacing w:after="0" w:line="360" w:lineRule="auto"/>
        <w:rPr>
          <w:rFonts w:ascii="Arial" w:hAnsi="Arial" w:cs="Arial"/>
          <w:lang w:val="en-US"/>
        </w:rPr>
      </w:pPr>
      <w:r>
        <w:rPr>
          <w:rFonts w:ascii="Arial" w:hAnsi="Arial" w:cs="Arial"/>
          <w:lang w:val="en-US"/>
        </w:rPr>
        <w:t>The White Paper has been officially launched with a Webinar featuring</w:t>
      </w:r>
      <w:r w:rsidR="00E42FBA" w:rsidRPr="00AD3FF0">
        <w:rPr>
          <w:rFonts w:ascii="Arial" w:hAnsi="Arial" w:cs="Arial"/>
          <w:lang w:val="en-US"/>
        </w:rPr>
        <w:t xml:space="preserve"> the following speakers; Anant Joshi, Director of </w:t>
      </w:r>
      <w:r w:rsidR="00D40639" w:rsidRPr="00AD3FF0">
        <w:rPr>
          <w:rFonts w:ascii="Arial" w:hAnsi="Arial" w:cs="Arial"/>
          <w:lang w:val="en-US"/>
        </w:rPr>
        <w:t xml:space="preserve">International Business, Meetrics; Tim Jones, Europe Research Manager, Microsoft; Jon Chase, Chairman Media Agencies Council, European Association of Communications Agencies (EACA); Steve Chester, Director of Data and Industry </w:t>
      </w:r>
      <w:proofErr w:type="spellStart"/>
      <w:r w:rsidR="00D40639" w:rsidRPr="00AD3FF0">
        <w:rPr>
          <w:rFonts w:ascii="Arial" w:hAnsi="Arial" w:cs="Arial"/>
          <w:lang w:val="en-US"/>
        </w:rPr>
        <w:t>Programmes</w:t>
      </w:r>
      <w:proofErr w:type="spellEnd"/>
      <w:r w:rsidR="00D40639" w:rsidRPr="00AD3FF0">
        <w:rPr>
          <w:rFonts w:ascii="Arial" w:hAnsi="Arial" w:cs="Arial"/>
          <w:lang w:val="en-US"/>
        </w:rPr>
        <w:t xml:space="preserve">, IAB UK; Endre </w:t>
      </w:r>
      <w:proofErr w:type="spellStart"/>
      <w:r w:rsidR="00D40639" w:rsidRPr="00AD3FF0">
        <w:rPr>
          <w:rFonts w:ascii="Arial" w:hAnsi="Arial" w:cs="Arial"/>
          <w:lang w:val="en-US"/>
        </w:rPr>
        <w:t>Somogyi</w:t>
      </w:r>
      <w:proofErr w:type="spellEnd"/>
      <w:r w:rsidR="00D40639" w:rsidRPr="00AD3FF0">
        <w:rPr>
          <w:rFonts w:ascii="Arial" w:hAnsi="Arial" w:cs="Arial"/>
          <w:lang w:val="en-US"/>
        </w:rPr>
        <w:t xml:space="preserve">, General Manager, IAB Hungary and Stuart Wilkinson, Head of Industry Relations EMEA, </w:t>
      </w:r>
      <w:proofErr w:type="spellStart"/>
      <w:r w:rsidR="00D40639" w:rsidRPr="00AD3FF0">
        <w:rPr>
          <w:rFonts w:ascii="Arial" w:hAnsi="Arial" w:cs="Arial"/>
          <w:lang w:val="en-US"/>
        </w:rPr>
        <w:t>comScore</w:t>
      </w:r>
      <w:proofErr w:type="spellEnd"/>
      <w:r w:rsidR="00D40639" w:rsidRPr="00AD3FF0">
        <w:rPr>
          <w:rFonts w:ascii="Arial" w:hAnsi="Arial" w:cs="Arial"/>
          <w:lang w:val="en-US"/>
        </w:rPr>
        <w:t>.</w:t>
      </w:r>
      <w:r w:rsidR="00D40639" w:rsidRPr="00AD3FF0">
        <w:rPr>
          <w:rFonts w:ascii="Arial" w:hAnsi="Arial" w:cs="Arial"/>
          <w:i/>
          <w:iCs/>
        </w:rPr>
        <w:t xml:space="preserve"> </w:t>
      </w:r>
      <w:r w:rsidR="00D40639" w:rsidRPr="00AD3FF0">
        <w:rPr>
          <w:rFonts w:ascii="Arial" w:hAnsi="Arial" w:cs="Arial"/>
        </w:rPr>
        <w:br/>
      </w:r>
    </w:p>
    <w:p w:rsidR="00973633" w:rsidRPr="00AD3FF0" w:rsidRDefault="00973633" w:rsidP="00973633">
      <w:pPr>
        <w:spacing w:after="0" w:line="360" w:lineRule="auto"/>
        <w:rPr>
          <w:rFonts w:ascii="Arial" w:hAnsi="Arial" w:cs="Arial"/>
        </w:rPr>
      </w:pPr>
      <w:r w:rsidRPr="00AD3FF0">
        <w:rPr>
          <w:rFonts w:ascii="Arial" w:hAnsi="Arial" w:cs="Arial"/>
        </w:rPr>
        <w:t xml:space="preserve">IAB Europe’s next steps are to </w:t>
      </w:r>
      <w:r w:rsidR="00D40639" w:rsidRPr="00AD3FF0">
        <w:rPr>
          <w:rFonts w:ascii="Arial" w:hAnsi="Arial" w:cs="Arial"/>
        </w:rPr>
        <w:t xml:space="preserve">further </w:t>
      </w:r>
      <w:r w:rsidRPr="00AD3FF0">
        <w:rPr>
          <w:rFonts w:ascii="Arial" w:hAnsi="Arial" w:cs="Arial"/>
        </w:rPr>
        <w:t xml:space="preserve">consult with the </w:t>
      </w:r>
      <w:r w:rsidR="00D40639" w:rsidRPr="00AD3FF0">
        <w:rPr>
          <w:rFonts w:ascii="Arial" w:hAnsi="Arial" w:cs="Arial"/>
        </w:rPr>
        <w:t>local IABs, measurement organisations and suppliers</w:t>
      </w:r>
      <w:r w:rsidRPr="00AD3FF0">
        <w:rPr>
          <w:rFonts w:ascii="Arial" w:hAnsi="Arial" w:cs="Arial"/>
        </w:rPr>
        <w:t xml:space="preserve"> on t</w:t>
      </w:r>
      <w:r w:rsidR="00D40639" w:rsidRPr="00AD3FF0">
        <w:rPr>
          <w:rFonts w:ascii="Arial" w:hAnsi="Arial" w:cs="Arial"/>
        </w:rPr>
        <w:t xml:space="preserve">he </w:t>
      </w:r>
      <w:r w:rsidR="003404AA">
        <w:rPr>
          <w:rFonts w:ascii="Arial" w:hAnsi="Arial" w:cs="Arial"/>
        </w:rPr>
        <w:t>findings of this White Paper. It will also expand its focus on q</w:t>
      </w:r>
      <w:r w:rsidR="00D40639" w:rsidRPr="00AD3FF0">
        <w:rPr>
          <w:rFonts w:ascii="Arial" w:hAnsi="Arial" w:cs="Arial"/>
        </w:rPr>
        <w:t xml:space="preserve">uality </w:t>
      </w:r>
      <w:r w:rsidR="003404AA">
        <w:rPr>
          <w:rFonts w:ascii="Arial" w:hAnsi="Arial" w:cs="Arial"/>
        </w:rPr>
        <w:t>– both of</w:t>
      </w:r>
      <w:r w:rsidR="00D40639" w:rsidRPr="00AD3FF0">
        <w:rPr>
          <w:rFonts w:ascii="Arial" w:hAnsi="Arial" w:cs="Arial"/>
        </w:rPr>
        <w:t xml:space="preserve"> delivery </w:t>
      </w:r>
      <w:r w:rsidR="003404AA">
        <w:rPr>
          <w:rFonts w:ascii="Arial" w:hAnsi="Arial" w:cs="Arial"/>
        </w:rPr>
        <w:t xml:space="preserve">of digital advertising </w:t>
      </w:r>
      <w:r w:rsidR="00D40639" w:rsidRPr="00AD3FF0">
        <w:rPr>
          <w:rFonts w:ascii="Arial" w:hAnsi="Arial" w:cs="Arial"/>
        </w:rPr>
        <w:t>and of the digital advertising environment</w:t>
      </w:r>
      <w:r w:rsidR="003404AA">
        <w:rPr>
          <w:rFonts w:ascii="Arial" w:hAnsi="Arial" w:cs="Arial"/>
        </w:rPr>
        <w:t xml:space="preserve"> -during 2015</w:t>
      </w:r>
      <w:r w:rsidR="00D40639" w:rsidRPr="00AD3FF0">
        <w:rPr>
          <w:rFonts w:ascii="Arial" w:hAnsi="Arial" w:cs="Arial"/>
        </w:rPr>
        <w:t xml:space="preserve">. </w:t>
      </w:r>
    </w:p>
    <w:p w:rsidR="00973633" w:rsidRPr="00AD3FF0" w:rsidRDefault="00973633" w:rsidP="00973633">
      <w:pPr>
        <w:spacing w:after="0" w:line="360" w:lineRule="auto"/>
        <w:rPr>
          <w:rFonts w:ascii="Arial" w:hAnsi="Arial" w:cs="Arial"/>
        </w:rPr>
      </w:pPr>
    </w:p>
    <w:p w:rsidR="009F4810" w:rsidRPr="00AD3FF0" w:rsidRDefault="009F4810" w:rsidP="009F4810">
      <w:pPr>
        <w:spacing w:after="0" w:line="360" w:lineRule="auto"/>
        <w:rPr>
          <w:rFonts w:ascii="Arial" w:hAnsi="Arial" w:cs="Arial"/>
          <w:b/>
        </w:rPr>
      </w:pPr>
      <w:r w:rsidRPr="00AD3FF0">
        <w:rPr>
          <w:rFonts w:ascii="Arial" w:hAnsi="Arial" w:cs="Arial"/>
          <w:b/>
        </w:rPr>
        <w:t>ENDS</w:t>
      </w:r>
      <w:r w:rsidRPr="00AD3FF0">
        <w:rPr>
          <w:rFonts w:ascii="Arial" w:hAnsi="Arial" w:cs="Arial"/>
          <w:b/>
        </w:rPr>
        <w:br/>
      </w:r>
    </w:p>
    <w:p w:rsidR="009F4810" w:rsidRPr="00AD3FF0" w:rsidRDefault="009F4810" w:rsidP="009F4810">
      <w:pPr>
        <w:spacing w:after="0" w:line="360" w:lineRule="auto"/>
        <w:rPr>
          <w:rFonts w:ascii="Arial" w:hAnsi="Arial" w:cs="Arial"/>
        </w:rPr>
      </w:pPr>
      <w:r w:rsidRPr="00AD3FF0">
        <w:rPr>
          <w:rFonts w:ascii="Arial" w:hAnsi="Arial" w:cs="Arial"/>
          <w:b/>
        </w:rPr>
        <w:t>Media please contact:</w:t>
      </w:r>
      <w:r w:rsidRPr="00AD3FF0">
        <w:rPr>
          <w:rFonts w:ascii="Arial" w:hAnsi="Arial" w:cs="Arial"/>
        </w:rPr>
        <w:t xml:space="preserve"> </w:t>
      </w:r>
      <w:r w:rsidR="00973633" w:rsidRPr="00AD3FF0">
        <w:rPr>
          <w:rFonts w:ascii="Arial" w:hAnsi="Arial" w:cs="Arial"/>
        </w:rPr>
        <w:t xml:space="preserve">Alison Fennah – </w:t>
      </w:r>
      <w:hyperlink r:id="rId9" w:history="1">
        <w:r w:rsidR="00973633" w:rsidRPr="00AD3FF0">
          <w:rPr>
            <w:rStyle w:val="Lienhypertexte"/>
            <w:rFonts w:ascii="Arial" w:hAnsi="Arial" w:cs="Arial"/>
          </w:rPr>
          <w:t>fennah@iabeurope.eu</w:t>
        </w:r>
      </w:hyperlink>
      <w:r w:rsidR="00973633" w:rsidRPr="00AD3FF0">
        <w:rPr>
          <w:rFonts w:ascii="Arial" w:hAnsi="Arial" w:cs="Arial"/>
        </w:rPr>
        <w:t xml:space="preserve"> </w:t>
      </w:r>
      <w:r w:rsidRPr="00AD3FF0">
        <w:rPr>
          <w:rFonts w:ascii="Arial" w:hAnsi="Arial" w:cs="Arial"/>
        </w:rPr>
        <w:t xml:space="preserve">  </w:t>
      </w:r>
    </w:p>
    <w:p w:rsidR="009F4810" w:rsidRPr="00AD3FF0" w:rsidRDefault="009F4810" w:rsidP="009F4810">
      <w:pPr>
        <w:spacing w:after="0" w:line="360" w:lineRule="auto"/>
        <w:rPr>
          <w:rFonts w:ascii="Arial" w:hAnsi="Arial" w:cs="Arial"/>
        </w:rPr>
      </w:pPr>
    </w:p>
    <w:p w:rsidR="009F4810" w:rsidRPr="00AD3FF0" w:rsidRDefault="009F4810" w:rsidP="009F4810">
      <w:pPr>
        <w:spacing w:after="0" w:line="360" w:lineRule="auto"/>
        <w:rPr>
          <w:rFonts w:ascii="Arial" w:hAnsi="Arial" w:cs="Arial"/>
          <w:b/>
        </w:rPr>
      </w:pPr>
      <w:r w:rsidRPr="00AD3FF0">
        <w:rPr>
          <w:rFonts w:ascii="Arial" w:hAnsi="Arial" w:cs="Arial"/>
          <w:b/>
        </w:rPr>
        <w:t>About IAB Europe</w:t>
      </w:r>
    </w:p>
    <w:p w:rsidR="009F4810" w:rsidRPr="00AD3FF0" w:rsidRDefault="009F4810" w:rsidP="009F4810">
      <w:pPr>
        <w:spacing w:after="0" w:line="360" w:lineRule="auto"/>
        <w:rPr>
          <w:rFonts w:ascii="Arial" w:hAnsi="Arial" w:cs="Arial"/>
        </w:rPr>
      </w:pPr>
      <w:r w:rsidRPr="00AD3FF0">
        <w:rPr>
          <w:rFonts w:ascii="Arial" w:hAnsi="Arial" w:cs="Arial"/>
        </w:rPr>
        <w:t xml:space="preserve">IAB Europe is the voice of digital business and the leading European-level industry association for the </w:t>
      </w:r>
      <w:r w:rsidR="00A62AD0">
        <w:rPr>
          <w:rFonts w:ascii="Arial" w:hAnsi="Arial" w:cs="Arial"/>
        </w:rPr>
        <w:t>digital</w:t>
      </w:r>
      <w:r w:rsidRPr="00AD3FF0">
        <w:rPr>
          <w:rFonts w:ascii="Arial" w:hAnsi="Arial" w:cs="Arial"/>
        </w:rPr>
        <w:t xml:space="preserve"> advertising ecosystem. Its mission is to promote the development of this </w:t>
      </w:r>
      <w:r w:rsidR="00A62AD0">
        <w:rPr>
          <w:rFonts w:ascii="Arial" w:hAnsi="Arial" w:cs="Arial"/>
        </w:rPr>
        <w:t xml:space="preserve">highly </w:t>
      </w:r>
      <w:r w:rsidRPr="00AD3FF0">
        <w:rPr>
          <w:rFonts w:ascii="Arial" w:hAnsi="Arial" w:cs="Arial"/>
        </w:rPr>
        <w:t xml:space="preserve">innovative sector by shaping the regulatory environment, investing in research </w:t>
      </w:r>
      <w:r w:rsidRPr="00AD3FF0">
        <w:rPr>
          <w:rFonts w:ascii="Arial" w:hAnsi="Arial" w:cs="Arial"/>
        </w:rPr>
        <w:lastRenderedPageBreak/>
        <w:t>and education, and developing and facilitating the uptake of business standards. Together with its members – companies and national trade associations – IAB Europe represents over 5,500 organisations</w:t>
      </w:r>
      <w:r w:rsidR="00A9497D" w:rsidRPr="00AD3FF0">
        <w:rPr>
          <w:rFonts w:ascii="Arial" w:hAnsi="Arial" w:cs="Arial"/>
        </w:rPr>
        <w:t xml:space="preserve">. </w:t>
      </w:r>
    </w:p>
    <w:p w:rsidR="00A9497D" w:rsidRPr="00836A02" w:rsidRDefault="00585939" w:rsidP="009F4810">
      <w:pPr>
        <w:spacing w:after="0" w:line="360" w:lineRule="auto"/>
        <w:rPr>
          <w:rFonts w:ascii="Arial" w:hAnsi="Arial" w:cs="Arial"/>
          <w:lang w:val="fr-FR"/>
        </w:rPr>
      </w:pPr>
      <w:hyperlink r:id="rId10" w:history="1">
        <w:r w:rsidR="00A9497D" w:rsidRPr="00836A02">
          <w:rPr>
            <w:rFonts w:ascii="Arial" w:eastAsia="MS Mincho" w:hAnsi="Arial" w:cs="Arial"/>
            <w:color w:val="000000"/>
            <w:lang w:val="fr-FR" w:eastAsia="ja-JP"/>
          </w:rPr>
          <w:t>www.iabeurope.eu</w:t>
        </w:r>
      </w:hyperlink>
      <w:r w:rsidR="00A9497D" w:rsidRPr="00836A02">
        <w:rPr>
          <w:rFonts w:ascii="Arial" w:eastAsia="MS Mincho" w:hAnsi="Arial" w:cs="Arial"/>
          <w:color w:val="000000"/>
          <w:lang w:val="fr-FR" w:eastAsia="ja-JP"/>
        </w:rPr>
        <w:t xml:space="preserve">  </w:t>
      </w:r>
      <w:r w:rsidR="00A9497D" w:rsidRPr="00AD3FF0">
        <w:rPr>
          <w:rFonts w:ascii="Arial" w:eastAsia="MS Mincho" w:hAnsi="Arial" w:cs="Arial"/>
          <w:noProof/>
          <w:color w:val="000000"/>
          <w:lang w:val="fr-FR" w:eastAsia="fr-FR"/>
        </w:rPr>
        <w:drawing>
          <wp:inline distT="0" distB="0" distL="0" distR="0" wp14:anchorId="34B63600" wp14:editId="4D426C1D">
            <wp:extent cx="142875" cy="105603"/>
            <wp:effectExtent l="19050" t="0" r="9525" b="0"/>
            <wp:docPr id="2" name="Image 3"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line image 3"/>
                    <pic:cNvPicPr>
                      <a:picLocks noChangeAspect="1" noChangeArrowheads="1"/>
                    </pic:cNvPicPr>
                  </pic:nvPicPr>
                  <pic:blipFill>
                    <a:blip r:embed="rId11"/>
                    <a:srcRect/>
                    <a:stretch>
                      <a:fillRect/>
                    </a:stretch>
                  </pic:blipFill>
                  <pic:spPr bwMode="auto">
                    <a:xfrm>
                      <a:off x="0" y="0"/>
                      <a:ext cx="147978" cy="109375"/>
                    </a:xfrm>
                    <a:prstGeom prst="rect">
                      <a:avLst/>
                    </a:prstGeom>
                    <a:noFill/>
                    <a:ln w="9525">
                      <a:noFill/>
                      <a:miter lim="800000"/>
                      <a:headEnd/>
                      <a:tailEnd/>
                    </a:ln>
                  </pic:spPr>
                </pic:pic>
              </a:graphicData>
            </a:graphic>
          </wp:inline>
        </w:drawing>
      </w:r>
      <w:r w:rsidR="00A9497D" w:rsidRPr="00836A02">
        <w:rPr>
          <w:rFonts w:ascii="Arial" w:eastAsia="MS Mincho" w:hAnsi="Arial" w:cs="Arial"/>
          <w:color w:val="000000"/>
          <w:lang w:val="fr-FR" w:eastAsia="ja-JP"/>
        </w:rPr>
        <w:t xml:space="preserve"> </w:t>
      </w:r>
      <w:hyperlink r:id="rId12" w:history="1">
        <w:r w:rsidR="00A9497D" w:rsidRPr="00836A02">
          <w:rPr>
            <w:rFonts w:ascii="Arial" w:eastAsia="MS Mincho" w:hAnsi="Arial" w:cs="Arial"/>
            <w:color w:val="000000"/>
            <w:lang w:val="fr-FR" w:eastAsia="ja-JP"/>
          </w:rPr>
          <w:t>@</w:t>
        </w:r>
        <w:proofErr w:type="spellStart"/>
        <w:r w:rsidR="00A9497D" w:rsidRPr="00836A02">
          <w:rPr>
            <w:rFonts w:ascii="Arial" w:eastAsia="MS Mincho" w:hAnsi="Arial" w:cs="Arial"/>
            <w:color w:val="000000"/>
            <w:lang w:val="fr-FR" w:eastAsia="ja-JP"/>
          </w:rPr>
          <w:t>IABEurope</w:t>
        </w:r>
        <w:proofErr w:type="spellEnd"/>
        <w:r w:rsidR="00A9497D" w:rsidRPr="00836A02">
          <w:rPr>
            <w:rFonts w:ascii="Arial" w:eastAsia="MS Mincho" w:hAnsi="Arial" w:cs="Arial"/>
            <w:color w:val="000000"/>
            <w:lang w:val="fr-FR" w:eastAsia="ja-JP"/>
          </w:rPr>
          <w:t xml:space="preserve"> </w:t>
        </w:r>
      </w:hyperlink>
      <w:r w:rsidR="00A9497D" w:rsidRPr="00836A02">
        <w:rPr>
          <w:rFonts w:ascii="Arial" w:eastAsia="MS Mincho" w:hAnsi="Arial" w:cs="Arial"/>
          <w:color w:val="000000"/>
          <w:lang w:val="fr-FR" w:eastAsia="ja-JP"/>
        </w:rPr>
        <w:t xml:space="preserve"> </w:t>
      </w:r>
      <w:r w:rsidR="00A9497D" w:rsidRPr="00AD3FF0">
        <w:rPr>
          <w:rFonts w:ascii="Arial" w:eastAsia="MS Mincho" w:hAnsi="Arial" w:cs="Arial"/>
          <w:noProof/>
          <w:color w:val="000000"/>
          <w:lang w:val="fr-FR" w:eastAsia="fr-FR"/>
        </w:rPr>
        <w:drawing>
          <wp:inline distT="0" distB="0" distL="0" distR="0" wp14:anchorId="083A6905" wp14:editId="43DBA3C2">
            <wp:extent cx="142875" cy="142875"/>
            <wp:effectExtent l="0" t="0" r="9525" b="9525"/>
            <wp:docPr id="5" name="Picture 6" descr="http://www.people-onthego.com/Portals/74033/images/linkedin_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http://www.people-onthego.com/Portals/74033/images/linkedin_icon.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063" cy="143063"/>
                    </a:xfrm>
                    <a:prstGeom prst="rect">
                      <a:avLst/>
                    </a:prstGeom>
                    <a:noFill/>
                    <a:extLst/>
                  </pic:spPr>
                </pic:pic>
              </a:graphicData>
            </a:graphic>
          </wp:inline>
        </w:drawing>
      </w:r>
      <w:r w:rsidR="00A9497D" w:rsidRPr="00836A02">
        <w:rPr>
          <w:rFonts w:ascii="Arial" w:eastAsia="MS Mincho" w:hAnsi="Arial" w:cs="Arial"/>
          <w:color w:val="000000"/>
          <w:lang w:val="fr-FR" w:eastAsia="ja-JP"/>
        </w:rPr>
        <w:t xml:space="preserve"> </w:t>
      </w:r>
      <w:hyperlink r:id="rId15" w:history="1">
        <w:r w:rsidR="00A9497D" w:rsidRPr="00836A02">
          <w:rPr>
            <w:rFonts w:ascii="Arial" w:eastAsia="MS Mincho" w:hAnsi="Arial" w:cs="Arial"/>
            <w:color w:val="000000"/>
            <w:lang w:val="fr-FR" w:eastAsia="ja-JP"/>
          </w:rPr>
          <w:t>IAB Europe</w:t>
        </w:r>
      </w:hyperlink>
    </w:p>
    <w:p w:rsidR="009F4810" w:rsidRPr="00836A02" w:rsidRDefault="009F4810" w:rsidP="009F4810">
      <w:pPr>
        <w:spacing w:after="0" w:line="360" w:lineRule="auto"/>
        <w:rPr>
          <w:rFonts w:ascii="Arial" w:hAnsi="Arial" w:cs="Arial"/>
          <w:lang w:val="fr-FR"/>
        </w:rPr>
      </w:pPr>
    </w:p>
    <w:p w:rsidR="00457D0A" w:rsidRPr="00AD3FF0" w:rsidRDefault="00457D0A" w:rsidP="00457D0A">
      <w:pPr>
        <w:spacing w:after="0" w:line="360" w:lineRule="auto"/>
        <w:rPr>
          <w:rFonts w:ascii="Arial" w:hAnsi="Arial" w:cs="Arial"/>
        </w:rPr>
      </w:pPr>
      <w:r>
        <w:rPr>
          <w:rFonts w:ascii="Arial" w:hAnsi="Arial" w:cs="Arial"/>
          <w:b/>
          <w:vertAlign w:val="superscript"/>
        </w:rPr>
        <w:t>1</w:t>
      </w:r>
      <w:r w:rsidRPr="00AD3FF0">
        <w:rPr>
          <w:rFonts w:ascii="Arial" w:hAnsi="Arial" w:cs="Arial"/>
        </w:rPr>
        <w:t xml:space="preserve"> </w:t>
      </w:r>
      <w:r w:rsidRPr="00AD3FF0">
        <w:rPr>
          <w:rFonts w:ascii="Arial" w:hAnsi="Arial" w:cs="Arial"/>
          <w:b/>
        </w:rPr>
        <w:t>About the IAB Europe’s Metrics and KPIs Survey</w:t>
      </w:r>
      <w:r w:rsidRPr="00AD3FF0">
        <w:rPr>
          <w:rFonts w:ascii="Arial" w:hAnsi="Arial" w:cs="Arial"/>
        </w:rPr>
        <w:t xml:space="preserve"> </w:t>
      </w:r>
    </w:p>
    <w:p w:rsidR="00457D0A" w:rsidRPr="00AD3FF0" w:rsidRDefault="00457D0A" w:rsidP="00457D0A">
      <w:pPr>
        <w:spacing w:after="0" w:line="360" w:lineRule="auto"/>
        <w:rPr>
          <w:rFonts w:ascii="Arial" w:hAnsi="Arial" w:cs="Arial"/>
        </w:rPr>
      </w:pPr>
      <w:r w:rsidRPr="00AD3FF0">
        <w:rPr>
          <w:rFonts w:ascii="Arial" w:hAnsi="Arial" w:cs="Arial"/>
        </w:rPr>
        <w:t>The IAB Europe Metrics and KPIs survey is a Europe-wide online survey of over 700 major stakeholders undertaken throughout March and April 2014. The survey was conducted to understand the measurement priorities of the European digital business community of Publishers, Agencies, Brand Advertisers, Ad Networks and Measurement/ Data Suppliers</w:t>
      </w:r>
    </w:p>
    <w:p w:rsidR="00457D0A" w:rsidRPr="00AD3FF0" w:rsidRDefault="00457D0A" w:rsidP="00457D0A">
      <w:pPr>
        <w:spacing w:after="0" w:line="360" w:lineRule="auto"/>
        <w:rPr>
          <w:rFonts w:ascii="Arial" w:hAnsi="Arial" w:cs="Arial"/>
        </w:rPr>
      </w:pPr>
    </w:p>
    <w:p w:rsidR="00457D0A" w:rsidRPr="00AD3FF0" w:rsidRDefault="00457D0A" w:rsidP="00457D0A">
      <w:pPr>
        <w:spacing w:after="0" w:line="360" w:lineRule="auto"/>
        <w:rPr>
          <w:rFonts w:ascii="Arial" w:hAnsi="Arial" w:cs="Arial"/>
        </w:rPr>
      </w:pPr>
      <w:r w:rsidRPr="00AD3FF0">
        <w:rPr>
          <w:rFonts w:ascii="Arial" w:hAnsi="Arial" w:cs="Arial"/>
        </w:rPr>
        <w:t xml:space="preserve">The online survey gathered the opinion on a range of measurements including Contact Quality, Audience metrics, Metrics by platform, Cross media evaluation, Qualitative measures, User engagement and Effectiveness measures/ROI. The key results of this can be found online </w:t>
      </w:r>
      <w:hyperlink r:id="rId16" w:history="1">
        <w:r w:rsidR="003125BF" w:rsidRPr="003125BF">
          <w:rPr>
            <w:rStyle w:val="Lienhypertexte"/>
            <w:rFonts w:ascii="Arial" w:hAnsi="Arial" w:cs="Arial"/>
          </w:rPr>
          <w:t>here</w:t>
        </w:r>
      </w:hyperlink>
    </w:p>
    <w:p w:rsidR="00457D0A" w:rsidRDefault="00457D0A" w:rsidP="00457D0A">
      <w:pPr>
        <w:spacing w:after="0" w:line="360" w:lineRule="auto"/>
        <w:rPr>
          <w:rFonts w:ascii="Arial" w:hAnsi="Arial" w:cs="Arial"/>
          <w:b/>
          <w:vertAlign w:val="superscript"/>
        </w:rPr>
      </w:pPr>
    </w:p>
    <w:p w:rsidR="00457D0A" w:rsidRPr="00AD3FF0" w:rsidRDefault="00457D0A" w:rsidP="00457D0A">
      <w:pPr>
        <w:spacing w:after="0" w:line="360" w:lineRule="auto"/>
        <w:rPr>
          <w:rFonts w:ascii="Arial" w:hAnsi="Arial" w:cs="Arial"/>
          <w:b/>
        </w:rPr>
      </w:pPr>
      <w:r>
        <w:rPr>
          <w:rFonts w:ascii="Arial" w:hAnsi="Arial" w:cs="Arial"/>
          <w:b/>
          <w:vertAlign w:val="superscript"/>
        </w:rPr>
        <w:t>2</w:t>
      </w:r>
      <w:r w:rsidRPr="00AD3FF0">
        <w:rPr>
          <w:rFonts w:ascii="Arial" w:hAnsi="Arial" w:cs="Arial"/>
          <w:b/>
        </w:rPr>
        <w:t xml:space="preserve"> The IAB Europe Brand Advertising Framework</w:t>
      </w:r>
    </w:p>
    <w:p w:rsidR="00457D0A" w:rsidRPr="00AD3FF0" w:rsidRDefault="00457D0A" w:rsidP="00457D0A">
      <w:pPr>
        <w:spacing w:after="0" w:line="360" w:lineRule="auto"/>
        <w:rPr>
          <w:rFonts w:ascii="Arial" w:hAnsi="Arial" w:cs="Arial"/>
        </w:rPr>
      </w:pPr>
      <w:r w:rsidRPr="00AD3FF0">
        <w:rPr>
          <w:rFonts w:ascii="Arial" w:hAnsi="Arial" w:cs="Arial"/>
        </w:rPr>
        <w:t xml:space="preserve">IAB Europe’s Brand Advertising Committee aims to provide Brand Advertisers with a reliable and trusted </w:t>
      </w:r>
      <w:r w:rsidRPr="00AD3FF0">
        <w:rPr>
          <w:rFonts w:ascii="Arial" w:hAnsi="Arial" w:cs="Arial"/>
          <w:bCs/>
        </w:rPr>
        <w:t>Brand Advertising Framework</w:t>
      </w:r>
      <w:r w:rsidRPr="00AD3FF0">
        <w:rPr>
          <w:rFonts w:ascii="Arial" w:hAnsi="Arial" w:cs="Arial"/>
        </w:rPr>
        <w:t xml:space="preserve"> for the </w:t>
      </w:r>
      <w:r w:rsidRPr="00AD3FF0">
        <w:rPr>
          <w:rFonts w:ascii="Arial" w:hAnsi="Arial" w:cs="Arial"/>
          <w:bCs/>
        </w:rPr>
        <w:t>converging digital and traditional media environment</w:t>
      </w:r>
      <w:r w:rsidRPr="00AD3FF0">
        <w:rPr>
          <w:rFonts w:ascii="Arial" w:hAnsi="Arial" w:cs="Arial"/>
        </w:rPr>
        <w:t xml:space="preserve">. The Framework is composed of </w:t>
      </w:r>
      <w:r w:rsidRPr="00AD3FF0">
        <w:rPr>
          <w:rFonts w:ascii="Arial" w:hAnsi="Arial" w:cs="Arial"/>
          <w:bCs/>
        </w:rPr>
        <w:t xml:space="preserve">a set of initiatives designed to be compatible with global programmes </w:t>
      </w:r>
      <w:r w:rsidRPr="00AD3FF0">
        <w:rPr>
          <w:rFonts w:ascii="Arial" w:hAnsi="Arial" w:cs="Arial"/>
        </w:rPr>
        <w:t>and there are three areas of focus – ad formats, Metrics and KPIs and audience segments and quality.</w:t>
      </w:r>
    </w:p>
    <w:p w:rsidR="00A9497D" w:rsidRPr="00836A02" w:rsidRDefault="00A9497D" w:rsidP="009F4810">
      <w:pPr>
        <w:spacing w:after="0" w:line="360" w:lineRule="auto"/>
        <w:rPr>
          <w:rFonts w:ascii="Arial" w:hAnsi="Arial" w:cs="Arial"/>
          <w:lang w:val="fr-FR"/>
        </w:rPr>
      </w:pPr>
    </w:p>
    <w:p w:rsidR="00A9497D" w:rsidRPr="00836A02" w:rsidRDefault="00457D0A" w:rsidP="00A9497D">
      <w:pPr>
        <w:spacing w:after="0" w:line="360" w:lineRule="auto"/>
        <w:rPr>
          <w:rFonts w:ascii="Arial" w:hAnsi="Arial" w:cs="Arial"/>
          <w:b/>
          <w:lang w:val="fr-FR"/>
        </w:rPr>
      </w:pPr>
      <w:r>
        <w:rPr>
          <w:rFonts w:ascii="Arial" w:hAnsi="Arial" w:cs="Arial"/>
          <w:b/>
          <w:vertAlign w:val="superscript"/>
          <w:lang w:val="fr-FR"/>
        </w:rPr>
        <w:t>3</w:t>
      </w:r>
      <w:r w:rsidR="00A9497D" w:rsidRPr="00836A02">
        <w:rPr>
          <w:rFonts w:ascii="Arial" w:hAnsi="Arial" w:cs="Arial"/>
          <w:b/>
          <w:lang w:val="fr-FR"/>
        </w:rPr>
        <w:t xml:space="preserve"> White </w:t>
      </w:r>
      <w:proofErr w:type="spellStart"/>
      <w:r w:rsidR="00A9497D" w:rsidRPr="00836A02">
        <w:rPr>
          <w:rFonts w:ascii="Arial" w:hAnsi="Arial" w:cs="Arial"/>
          <w:b/>
          <w:lang w:val="fr-FR"/>
        </w:rPr>
        <w:t>Paper</w:t>
      </w:r>
      <w:proofErr w:type="spellEnd"/>
      <w:r w:rsidR="00A9497D" w:rsidRPr="00836A02">
        <w:rPr>
          <w:rFonts w:ascii="Arial" w:hAnsi="Arial" w:cs="Arial"/>
          <w:b/>
          <w:lang w:val="fr-FR"/>
        </w:rPr>
        <w:t xml:space="preserve"> </w:t>
      </w:r>
      <w:proofErr w:type="spellStart"/>
      <w:r w:rsidR="00A9497D" w:rsidRPr="00836A02">
        <w:rPr>
          <w:rFonts w:ascii="Arial" w:hAnsi="Arial" w:cs="Arial"/>
          <w:b/>
          <w:lang w:val="fr-FR"/>
        </w:rPr>
        <w:t>Contributors</w:t>
      </w:r>
      <w:proofErr w:type="spellEnd"/>
    </w:p>
    <w:p w:rsidR="00A9497D" w:rsidRPr="00836A02" w:rsidRDefault="00A9497D" w:rsidP="00A9497D">
      <w:pPr>
        <w:spacing w:after="0" w:line="360" w:lineRule="auto"/>
        <w:rPr>
          <w:rFonts w:ascii="Arial" w:hAnsi="Arial" w:cs="Arial"/>
          <w:lang w:val="fr-FR"/>
        </w:rPr>
      </w:pPr>
      <w:r w:rsidRPr="00836A02">
        <w:rPr>
          <w:rFonts w:ascii="Arial" w:hAnsi="Arial" w:cs="Arial"/>
          <w:lang w:val="fr-FR"/>
        </w:rPr>
        <w:t xml:space="preserve">AppNexus, BVDW / IAB Germany, </w:t>
      </w:r>
      <w:proofErr w:type="spellStart"/>
      <w:r w:rsidRPr="00836A02">
        <w:rPr>
          <w:rFonts w:ascii="Arial" w:hAnsi="Arial" w:cs="Arial"/>
          <w:lang w:val="fr-FR"/>
        </w:rPr>
        <w:t>comScore</w:t>
      </w:r>
      <w:proofErr w:type="spellEnd"/>
      <w:r w:rsidRPr="00836A02">
        <w:rPr>
          <w:rFonts w:ascii="Arial" w:hAnsi="Arial" w:cs="Arial"/>
          <w:lang w:val="fr-FR"/>
        </w:rPr>
        <w:t xml:space="preserve">, Danske </w:t>
      </w:r>
      <w:proofErr w:type="spellStart"/>
      <w:r w:rsidRPr="00836A02">
        <w:rPr>
          <w:rFonts w:ascii="Arial" w:hAnsi="Arial" w:cs="Arial"/>
          <w:lang w:val="fr-FR"/>
        </w:rPr>
        <w:t>Medier</w:t>
      </w:r>
      <w:proofErr w:type="spellEnd"/>
      <w:r w:rsidRPr="00836A02">
        <w:rPr>
          <w:rFonts w:ascii="Arial" w:hAnsi="Arial" w:cs="Arial"/>
          <w:lang w:val="fr-FR"/>
        </w:rPr>
        <w:t xml:space="preserve">/ IAB </w:t>
      </w:r>
      <w:proofErr w:type="spellStart"/>
      <w:r w:rsidRPr="00836A02">
        <w:rPr>
          <w:rFonts w:ascii="Arial" w:hAnsi="Arial" w:cs="Arial"/>
          <w:lang w:val="fr-FR"/>
        </w:rPr>
        <w:t>Denmark</w:t>
      </w:r>
      <w:proofErr w:type="spellEnd"/>
      <w:r w:rsidRPr="00836A02">
        <w:rPr>
          <w:rFonts w:ascii="Arial" w:hAnsi="Arial" w:cs="Arial"/>
          <w:lang w:val="fr-FR"/>
        </w:rPr>
        <w:t xml:space="preserve">, EACA, GroupM, IAB Europe, IAB </w:t>
      </w:r>
      <w:proofErr w:type="spellStart"/>
      <w:r w:rsidRPr="00836A02">
        <w:rPr>
          <w:rFonts w:ascii="Arial" w:hAnsi="Arial" w:cs="Arial"/>
          <w:lang w:val="fr-FR"/>
        </w:rPr>
        <w:t>Finland</w:t>
      </w:r>
      <w:proofErr w:type="spellEnd"/>
      <w:r w:rsidRPr="00836A02">
        <w:rPr>
          <w:rFonts w:ascii="Arial" w:hAnsi="Arial" w:cs="Arial"/>
          <w:lang w:val="fr-FR"/>
        </w:rPr>
        <w:t xml:space="preserve">, IAB France, IAB Hungary, IAB Italy, IAB Netherlands, IAB Poland, IAB Spain, IAB </w:t>
      </w:r>
      <w:proofErr w:type="spellStart"/>
      <w:r w:rsidRPr="00836A02">
        <w:rPr>
          <w:rFonts w:ascii="Arial" w:hAnsi="Arial" w:cs="Arial"/>
          <w:lang w:val="fr-FR"/>
        </w:rPr>
        <w:t>Sweden</w:t>
      </w:r>
      <w:proofErr w:type="spellEnd"/>
      <w:r w:rsidRPr="00836A02">
        <w:rPr>
          <w:rFonts w:ascii="Arial" w:hAnsi="Arial" w:cs="Arial"/>
          <w:lang w:val="fr-FR"/>
        </w:rPr>
        <w:t xml:space="preserve">, IAB UK, </w:t>
      </w:r>
      <w:proofErr w:type="spellStart"/>
      <w:r w:rsidRPr="00836A02">
        <w:rPr>
          <w:rFonts w:ascii="Arial" w:hAnsi="Arial" w:cs="Arial"/>
          <w:lang w:val="fr-FR"/>
        </w:rPr>
        <w:t>Infectious</w:t>
      </w:r>
      <w:proofErr w:type="spellEnd"/>
      <w:r w:rsidRPr="00836A02">
        <w:rPr>
          <w:rFonts w:ascii="Arial" w:hAnsi="Arial" w:cs="Arial"/>
          <w:lang w:val="fr-FR"/>
        </w:rPr>
        <w:t xml:space="preserve"> Media, Integral Ad Science, Meetrics, Microsoft Advertising, Xaxis</w:t>
      </w:r>
    </w:p>
    <w:p w:rsidR="00A9497D" w:rsidRPr="00AD3FF0" w:rsidRDefault="00A9497D" w:rsidP="009F4810">
      <w:pPr>
        <w:spacing w:after="0" w:line="360" w:lineRule="auto"/>
        <w:rPr>
          <w:rFonts w:ascii="Arial" w:hAnsi="Arial" w:cs="Arial"/>
        </w:rPr>
      </w:pPr>
    </w:p>
    <w:p w:rsidR="009F4810" w:rsidRPr="00AD3FF0" w:rsidRDefault="00A9497D" w:rsidP="009F4810">
      <w:pPr>
        <w:spacing w:after="0" w:line="360" w:lineRule="auto"/>
        <w:rPr>
          <w:rFonts w:ascii="Arial" w:hAnsi="Arial" w:cs="Arial"/>
        </w:rPr>
      </w:pPr>
      <w:r w:rsidRPr="00AD3FF0">
        <w:rPr>
          <w:rFonts w:ascii="Arial" w:hAnsi="Arial" w:cs="Arial"/>
          <w:b/>
          <w:vertAlign w:val="superscript"/>
        </w:rPr>
        <w:t>4</w:t>
      </w:r>
      <w:r w:rsidR="009F4810" w:rsidRPr="00AD3FF0">
        <w:rPr>
          <w:rFonts w:ascii="Arial" w:hAnsi="Arial" w:cs="Arial"/>
          <w:vertAlign w:val="superscript"/>
        </w:rPr>
        <w:t xml:space="preserve"> </w:t>
      </w:r>
      <w:r w:rsidR="009F4810" w:rsidRPr="00AD3FF0">
        <w:rPr>
          <w:rFonts w:ascii="Arial" w:hAnsi="Arial" w:cs="Arial"/>
          <w:b/>
        </w:rPr>
        <w:t xml:space="preserve">The annual </w:t>
      </w:r>
      <w:proofErr w:type="spellStart"/>
      <w:r w:rsidR="009F4810" w:rsidRPr="00AD3FF0">
        <w:rPr>
          <w:rFonts w:ascii="Arial" w:hAnsi="Arial" w:cs="Arial"/>
          <w:b/>
        </w:rPr>
        <w:t>AdEx</w:t>
      </w:r>
      <w:proofErr w:type="spellEnd"/>
      <w:r w:rsidR="009F4810" w:rsidRPr="00AD3FF0">
        <w:rPr>
          <w:rFonts w:ascii="Arial" w:hAnsi="Arial" w:cs="Arial"/>
          <w:b/>
        </w:rPr>
        <w:t xml:space="preserve"> Benchmark</w:t>
      </w:r>
      <w:r w:rsidR="009F4810" w:rsidRPr="00AD3FF0">
        <w:rPr>
          <w:rFonts w:ascii="Arial" w:hAnsi="Arial" w:cs="Arial"/>
        </w:rPr>
        <w:t xml:space="preserve"> study is one of the most significant outputs from IAB Europe. The report is </w:t>
      </w:r>
      <w:proofErr w:type="gramStart"/>
      <w:r w:rsidR="009F4810" w:rsidRPr="00AD3FF0">
        <w:rPr>
          <w:rFonts w:ascii="Arial" w:hAnsi="Arial" w:cs="Arial"/>
        </w:rPr>
        <w:t>a comprehensive perspective of online advertising spend</w:t>
      </w:r>
      <w:proofErr w:type="gramEnd"/>
      <w:r w:rsidR="009F4810" w:rsidRPr="00AD3FF0">
        <w:rPr>
          <w:rFonts w:ascii="Arial" w:hAnsi="Arial" w:cs="Arial"/>
        </w:rPr>
        <w:t xml:space="preserve"> across Europe which is growing ever important in light of the development of digital business, policy formulation, the increasingly pan-regional nature of digital advertising investments and the contextualisation of European markets within a wider global framework. </w:t>
      </w:r>
      <w:r w:rsidR="003125BF">
        <w:rPr>
          <w:rFonts w:ascii="Arial" w:hAnsi="Arial" w:cs="Arial"/>
        </w:rPr>
        <w:t>–</w:t>
      </w:r>
      <w:r w:rsidR="009F4810" w:rsidRPr="00AD3FF0">
        <w:rPr>
          <w:rFonts w:ascii="Arial" w:hAnsi="Arial" w:cs="Arial"/>
        </w:rPr>
        <w:t xml:space="preserve"> </w:t>
      </w:r>
      <w:r w:rsidR="003125BF">
        <w:rPr>
          <w:rFonts w:ascii="Arial" w:hAnsi="Arial" w:cs="Arial"/>
        </w:rPr>
        <w:t xml:space="preserve"> </w:t>
      </w:r>
      <w:proofErr w:type="gramStart"/>
      <w:r w:rsidR="003125BF">
        <w:rPr>
          <w:rFonts w:ascii="Arial" w:hAnsi="Arial" w:cs="Arial"/>
        </w:rPr>
        <w:t>see</w:t>
      </w:r>
      <w:proofErr w:type="gramEnd"/>
      <w:r w:rsidR="003125BF">
        <w:rPr>
          <w:rFonts w:ascii="Arial" w:hAnsi="Arial" w:cs="Arial"/>
        </w:rPr>
        <w:t xml:space="preserve"> </w:t>
      </w:r>
      <w:hyperlink r:id="rId17" w:history="1">
        <w:r w:rsidR="003125BF" w:rsidRPr="003125BF">
          <w:rPr>
            <w:rStyle w:val="Lienhypertexte"/>
            <w:rFonts w:ascii="Arial" w:hAnsi="Arial" w:cs="Arial"/>
          </w:rPr>
          <w:t>here</w:t>
        </w:r>
      </w:hyperlink>
      <w:r w:rsidR="003125BF">
        <w:rPr>
          <w:rFonts w:ascii="Arial" w:hAnsi="Arial" w:cs="Arial"/>
        </w:rPr>
        <w:t xml:space="preserve"> the </w:t>
      </w:r>
      <w:proofErr w:type="spellStart"/>
      <w:r w:rsidR="003125BF">
        <w:rPr>
          <w:rFonts w:ascii="Arial" w:hAnsi="Arial" w:cs="Arial"/>
        </w:rPr>
        <w:t>AdEx</w:t>
      </w:r>
      <w:proofErr w:type="spellEnd"/>
      <w:r w:rsidR="003125BF">
        <w:rPr>
          <w:rFonts w:ascii="Arial" w:hAnsi="Arial" w:cs="Arial"/>
        </w:rPr>
        <w:t xml:space="preserve"> Benchmark 2013 full report.</w:t>
      </w:r>
    </w:p>
    <w:p w:rsidR="009F4810" w:rsidRDefault="009F4810" w:rsidP="00EA2C71">
      <w:pPr>
        <w:spacing w:line="360" w:lineRule="auto"/>
        <w:rPr>
          <w:rFonts w:ascii="Arial" w:hAnsi="Arial" w:cs="Arial"/>
        </w:rPr>
      </w:pPr>
    </w:p>
    <w:sectPr w:rsidR="009F4810">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F49D7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D0" w:rsidRDefault="00A92FD0" w:rsidP="002E64EB">
      <w:pPr>
        <w:spacing w:after="0" w:line="240" w:lineRule="auto"/>
      </w:pPr>
      <w:r>
        <w:separator/>
      </w:r>
    </w:p>
  </w:endnote>
  <w:endnote w:type="continuationSeparator" w:id="0">
    <w:p w:rsidR="00A92FD0" w:rsidRDefault="00A92FD0" w:rsidP="002E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589"/>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2E64EB" w:rsidRPr="002E64EB" w:rsidRDefault="002E64EB" w:rsidP="002E64EB">
            <w:pPr>
              <w:pStyle w:val="Pieddepage"/>
              <w:rPr>
                <w:sz w:val="18"/>
                <w:szCs w:val="18"/>
              </w:rPr>
            </w:pPr>
            <w:r w:rsidRPr="002E64EB">
              <w:rPr>
                <w:rFonts w:ascii="Arial" w:eastAsia="Adobe Ming Std L" w:hAnsi="Arial" w:cs="Arial"/>
                <w:sz w:val="18"/>
                <w:szCs w:val="18"/>
              </w:rPr>
              <w:t xml:space="preserve">IAB Europe Viewable Impressions White Paper Press Release </w:t>
            </w:r>
            <w:r w:rsidRPr="002E64EB">
              <w:rPr>
                <w:rFonts w:ascii="Arial" w:eastAsia="Adobe Ming Std L" w:hAnsi="Arial" w:cs="Arial"/>
                <w:sz w:val="18"/>
                <w:szCs w:val="18"/>
              </w:rPr>
              <w:tab/>
              <w:t xml:space="preserve">Page </w:t>
            </w:r>
            <w:r w:rsidRPr="002E64EB">
              <w:rPr>
                <w:rFonts w:ascii="Arial" w:eastAsia="Adobe Ming Std L" w:hAnsi="Arial" w:cs="Arial"/>
                <w:b/>
                <w:bCs/>
                <w:sz w:val="18"/>
                <w:szCs w:val="18"/>
              </w:rPr>
              <w:fldChar w:fldCharType="begin"/>
            </w:r>
            <w:r w:rsidRPr="002E64EB">
              <w:rPr>
                <w:rFonts w:ascii="Arial" w:eastAsia="Adobe Ming Std L" w:hAnsi="Arial" w:cs="Arial"/>
                <w:b/>
                <w:bCs/>
                <w:sz w:val="18"/>
                <w:szCs w:val="18"/>
              </w:rPr>
              <w:instrText xml:space="preserve"> PAGE </w:instrText>
            </w:r>
            <w:r w:rsidRPr="002E64EB">
              <w:rPr>
                <w:rFonts w:ascii="Arial" w:eastAsia="Adobe Ming Std L" w:hAnsi="Arial" w:cs="Arial"/>
                <w:b/>
                <w:bCs/>
                <w:sz w:val="18"/>
                <w:szCs w:val="18"/>
              </w:rPr>
              <w:fldChar w:fldCharType="separate"/>
            </w:r>
            <w:r w:rsidR="00585939">
              <w:rPr>
                <w:rFonts w:ascii="Arial" w:eastAsia="Adobe Ming Std L" w:hAnsi="Arial" w:cs="Arial"/>
                <w:b/>
                <w:bCs/>
                <w:noProof/>
                <w:sz w:val="18"/>
                <w:szCs w:val="18"/>
              </w:rPr>
              <w:t>3</w:t>
            </w:r>
            <w:r w:rsidRPr="002E64EB">
              <w:rPr>
                <w:rFonts w:ascii="Arial" w:eastAsia="Adobe Ming Std L" w:hAnsi="Arial" w:cs="Arial"/>
                <w:b/>
                <w:bCs/>
                <w:sz w:val="18"/>
                <w:szCs w:val="18"/>
              </w:rPr>
              <w:fldChar w:fldCharType="end"/>
            </w:r>
            <w:r w:rsidRPr="002E64EB">
              <w:rPr>
                <w:rFonts w:ascii="Arial" w:eastAsia="Adobe Ming Std L" w:hAnsi="Arial" w:cs="Arial"/>
                <w:sz w:val="18"/>
                <w:szCs w:val="18"/>
              </w:rPr>
              <w:t xml:space="preserve"> of </w:t>
            </w:r>
            <w:r w:rsidRPr="002E64EB">
              <w:rPr>
                <w:rFonts w:ascii="Arial" w:eastAsia="Adobe Ming Std L" w:hAnsi="Arial" w:cs="Arial"/>
                <w:b/>
                <w:bCs/>
                <w:sz w:val="18"/>
                <w:szCs w:val="18"/>
              </w:rPr>
              <w:fldChar w:fldCharType="begin"/>
            </w:r>
            <w:r w:rsidRPr="002E64EB">
              <w:rPr>
                <w:rFonts w:ascii="Arial" w:eastAsia="Adobe Ming Std L" w:hAnsi="Arial" w:cs="Arial"/>
                <w:b/>
                <w:bCs/>
                <w:sz w:val="18"/>
                <w:szCs w:val="18"/>
              </w:rPr>
              <w:instrText xml:space="preserve"> NUMPAGES  </w:instrText>
            </w:r>
            <w:r w:rsidRPr="002E64EB">
              <w:rPr>
                <w:rFonts w:ascii="Arial" w:eastAsia="Adobe Ming Std L" w:hAnsi="Arial" w:cs="Arial"/>
                <w:b/>
                <w:bCs/>
                <w:sz w:val="18"/>
                <w:szCs w:val="18"/>
              </w:rPr>
              <w:fldChar w:fldCharType="separate"/>
            </w:r>
            <w:r w:rsidR="00585939">
              <w:rPr>
                <w:rFonts w:ascii="Arial" w:eastAsia="Adobe Ming Std L" w:hAnsi="Arial" w:cs="Arial"/>
                <w:b/>
                <w:bCs/>
                <w:noProof/>
                <w:sz w:val="18"/>
                <w:szCs w:val="18"/>
              </w:rPr>
              <w:t>3</w:t>
            </w:r>
            <w:r w:rsidRPr="002E64EB">
              <w:rPr>
                <w:rFonts w:ascii="Arial" w:eastAsia="Adobe Ming Std L" w:hAnsi="Arial" w:cs="Arial"/>
                <w:b/>
                <w:bCs/>
                <w:sz w:val="18"/>
                <w:szCs w:val="18"/>
              </w:rPr>
              <w:fldChar w:fldCharType="end"/>
            </w:r>
          </w:p>
        </w:sdtContent>
      </w:sdt>
    </w:sdtContent>
  </w:sdt>
  <w:p w:rsidR="002E64EB" w:rsidRPr="002E64EB" w:rsidRDefault="002E64EB">
    <w:pPr>
      <w:pStyle w:val="Pieddepage"/>
      <w:rPr>
        <w:rFonts w:ascii="Arial" w:hAnsi="Arial" w:cs="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D0" w:rsidRDefault="00A92FD0" w:rsidP="002E64EB">
      <w:pPr>
        <w:spacing w:after="0" w:line="240" w:lineRule="auto"/>
      </w:pPr>
      <w:r>
        <w:separator/>
      </w:r>
    </w:p>
  </w:footnote>
  <w:footnote w:type="continuationSeparator" w:id="0">
    <w:p w:rsidR="00A92FD0" w:rsidRDefault="00A92FD0" w:rsidP="002E64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nline image 3" style="width:19pt;height:13pt;visibility:visible;mso-wrap-style:square" o:bullet="t">
        <v:imagedata r:id="rId1" o:title="Inline image 3"/>
      </v:shape>
    </w:pict>
  </w:numPicBullet>
  <w:abstractNum w:abstractNumId="0">
    <w:nsid w:val="31B35346"/>
    <w:multiLevelType w:val="hybridMultilevel"/>
    <w:tmpl w:val="D7E86F4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
    <w:nsid w:val="3C8338F1"/>
    <w:multiLevelType w:val="hybridMultilevel"/>
    <w:tmpl w:val="72FEFA76"/>
    <w:lvl w:ilvl="0" w:tplc="3D509D88">
      <w:start w:val="1"/>
      <w:numFmt w:val="bullet"/>
      <w:lvlText w:val="•"/>
      <w:lvlJc w:val="left"/>
      <w:pPr>
        <w:tabs>
          <w:tab w:val="num" w:pos="720"/>
        </w:tabs>
        <w:ind w:left="720" w:hanging="360"/>
      </w:pPr>
      <w:rPr>
        <w:rFonts w:ascii="Arial" w:hAnsi="Arial" w:hint="default"/>
      </w:rPr>
    </w:lvl>
    <w:lvl w:ilvl="1" w:tplc="E7A2BD1A" w:tentative="1">
      <w:start w:val="1"/>
      <w:numFmt w:val="bullet"/>
      <w:lvlText w:val="•"/>
      <w:lvlJc w:val="left"/>
      <w:pPr>
        <w:tabs>
          <w:tab w:val="num" w:pos="1440"/>
        </w:tabs>
        <w:ind w:left="1440" w:hanging="360"/>
      </w:pPr>
      <w:rPr>
        <w:rFonts w:ascii="Arial" w:hAnsi="Arial" w:hint="default"/>
      </w:rPr>
    </w:lvl>
    <w:lvl w:ilvl="2" w:tplc="2CF40722" w:tentative="1">
      <w:start w:val="1"/>
      <w:numFmt w:val="bullet"/>
      <w:lvlText w:val="•"/>
      <w:lvlJc w:val="left"/>
      <w:pPr>
        <w:tabs>
          <w:tab w:val="num" w:pos="2160"/>
        </w:tabs>
        <w:ind w:left="2160" w:hanging="360"/>
      </w:pPr>
      <w:rPr>
        <w:rFonts w:ascii="Arial" w:hAnsi="Arial" w:hint="default"/>
      </w:rPr>
    </w:lvl>
    <w:lvl w:ilvl="3" w:tplc="093EEFCC" w:tentative="1">
      <w:start w:val="1"/>
      <w:numFmt w:val="bullet"/>
      <w:lvlText w:val="•"/>
      <w:lvlJc w:val="left"/>
      <w:pPr>
        <w:tabs>
          <w:tab w:val="num" w:pos="2880"/>
        </w:tabs>
        <w:ind w:left="2880" w:hanging="360"/>
      </w:pPr>
      <w:rPr>
        <w:rFonts w:ascii="Arial" w:hAnsi="Arial" w:hint="default"/>
      </w:rPr>
    </w:lvl>
    <w:lvl w:ilvl="4" w:tplc="FB28E2BA" w:tentative="1">
      <w:start w:val="1"/>
      <w:numFmt w:val="bullet"/>
      <w:lvlText w:val="•"/>
      <w:lvlJc w:val="left"/>
      <w:pPr>
        <w:tabs>
          <w:tab w:val="num" w:pos="3600"/>
        </w:tabs>
        <w:ind w:left="3600" w:hanging="360"/>
      </w:pPr>
      <w:rPr>
        <w:rFonts w:ascii="Arial" w:hAnsi="Arial" w:hint="default"/>
      </w:rPr>
    </w:lvl>
    <w:lvl w:ilvl="5" w:tplc="80A6E6EE" w:tentative="1">
      <w:start w:val="1"/>
      <w:numFmt w:val="bullet"/>
      <w:lvlText w:val="•"/>
      <w:lvlJc w:val="left"/>
      <w:pPr>
        <w:tabs>
          <w:tab w:val="num" w:pos="4320"/>
        </w:tabs>
        <w:ind w:left="4320" w:hanging="360"/>
      </w:pPr>
      <w:rPr>
        <w:rFonts w:ascii="Arial" w:hAnsi="Arial" w:hint="default"/>
      </w:rPr>
    </w:lvl>
    <w:lvl w:ilvl="6" w:tplc="C3BA686E" w:tentative="1">
      <w:start w:val="1"/>
      <w:numFmt w:val="bullet"/>
      <w:lvlText w:val="•"/>
      <w:lvlJc w:val="left"/>
      <w:pPr>
        <w:tabs>
          <w:tab w:val="num" w:pos="5040"/>
        </w:tabs>
        <w:ind w:left="5040" w:hanging="360"/>
      </w:pPr>
      <w:rPr>
        <w:rFonts w:ascii="Arial" w:hAnsi="Arial" w:hint="default"/>
      </w:rPr>
    </w:lvl>
    <w:lvl w:ilvl="7" w:tplc="D0A8737A" w:tentative="1">
      <w:start w:val="1"/>
      <w:numFmt w:val="bullet"/>
      <w:lvlText w:val="•"/>
      <w:lvlJc w:val="left"/>
      <w:pPr>
        <w:tabs>
          <w:tab w:val="num" w:pos="5760"/>
        </w:tabs>
        <w:ind w:left="5760" w:hanging="360"/>
      </w:pPr>
      <w:rPr>
        <w:rFonts w:ascii="Arial" w:hAnsi="Arial" w:hint="default"/>
      </w:rPr>
    </w:lvl>
    <w:lvl w:ilvl="8" w:tplc="8BE40FFE" w:tentative="1">
      <w:start w:val="1"/>
      <w:numFmt w:val="bullet"/>
      <w:lvlText w:val="•"/>
      <w:lvlJc w:val="left"/>
      <w:pPr>
        <w:tabs>
          <w:tab w:val="num" w:pos="6480"/>
        </w:tabs>
        <w:ind w:left="6480" w:hanging="360"/>
      </w:pPr>
      <w:rPr>
        <w:rFonts w:ascii="Arial" w:hAnsi="Arial" w:hint="default"/>
      </w:rPr>
    </w:lvl>
  </w:abstractNum>
  <w:abstractNum w:abstractNumId="2">
    <w:nsid w:val="3D714C31"/>
    <w:multiLevelType w:val="hybridMultilevel"/>
    <w:tmpl w:val="6D3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013B3"/>
    <w:multiLevelType w:val="hybridMultilevel"/>
    <w:tmpl w:val="DB5632AA"/>
    <w:lvl w:ilvl="0" w:tplc="F586DB28">
      <w:start w:val="1"/>
      <w:numFmt w:val="bullet"/>
      <w:lvlText w:val=""/>
      <w:lvlPicBulletId w:val="0"/>
      <w:lvlJc w:val="left"/>
      <w:pPr>
        <w:tabs>
          <w:tab w:val="num" w:pos="720"/>
        </w:tabs>
        <w:ind w:left="720" w:hanging="360"/>
      </w:pPr>
      <w:rPr>
        <w:rFonts w:ascii="Symbol" w:hAnsi="Symbol" w:hint="default"/>
      </w:rPr>
    </w:lvl>
    <w:lvl w:ilvl="1" w:tplc="1AF203AA" w:tentative="1">
      <w:start w:val="1"/>
      <w:numFmt w:val="bullet"/>
      <w:lvlText w:val=""/>
      <w:lvlJc w:val="left"/>
      <w:pPr>
        <w:tabs>
          <w:tab w:val="num" w:pos="1440"/>
        </w:tabs>
        <w:ind w:left="1440" w:hanging="360"/>
      </w:pPr>
      <w:rPr>
        <w:rFonts w:ascii="Symbol" w:hAnsi="Symbol" w:hint="default"/>
      </w:rPr>
    </w:lvl>
    <w:lvl w:ilvl="2" w:tplc="E2485FEC" w:tentative="1">
      <w:start w:val="1"/>
      <w:numFmt w:val="bullet"/>
      <w:lvlText w:val=""/>
      <w:lvlJc w:val="left"/>
      <w:pPr>
        <w:tabs>
          <w:tab w:val="num" w:pos="2160"/>
        </w:tabs>
        <w:ind w:left="2160" w:hanging="360"/>
      </w:pPr>
      <w:rPr>
        <w:rFonts w:ascii="Symbol" w:hAnsi="Symbol" w:hint="default"/>
      </w:rPr>
    </w:lvl>
    <w:lvl w:ilvl="3" w:tplc="5DF60E86" w:tentative="1">
      <w:start w:val="1"/>
      <w:numFmt w:val="bullet"/>
      <w:lvlText w:val=""/>
      <w:lvlJc w:val="left"/>
      <w:pPr>
        <w:tabs>
          <w:tab w:val="num" w:pos="2880"/>
        </w:tabs>
        <w:ind w:left="2880" w:hanging="360"/>
      </w:pPr>
      <w:rPr>
        <w:rFonts w:ascii="Symbol" w:hAnsi="Symbol" w:hint="default"/>
      </w:rPr>
    </w:lvl>
    <w:lvl w:ilvl="4" w:tplc="8916B0E4" w:tentative="1">
      <w:start w:val="1"/>
      <w:numFmt w:val="bullet"/>
      <w:lvlText w:val=""/>
      <w:lvlJc w:val="left"/>
      <w:pPr>
        <w:tabs>
          <w:tab w:val="num" w:pos="3600"/>
        </w:tabs>
        <w:ind w:left="3600" w:hanging="360"/>
      </w:pPr>
      <w:rPr>
        <w:rFonts w:ascii="Symbol" w:hAnsi="Symbol" w:hint="default"/>
      </w:rPr>
    </w:lvl>
    <w:lvl w:ilvl="5" w:tplc="A33E1444" w:tentative="1">
      <w:start w:val="1"/>
      <w:numFmt w:val="bullet"/>
      <w:lvlText w:val=""/>
      <w:lvlJc w:val="left"/>
      <w:pPr>
        <w:tabs>
          <w:tab w:val="num" w:pos="4320"/>
        </w:tabs>
        <w:ind w:left="4320" w:hanging="360"/>
      </w:pPr>
      <w:rPr>
        <w:rFonts w:ascii="Symbol" w:hAnsi="Symbol" w:hint="default"/>
      </w:rPr>
    </w:lvl>
    <w:lvl w:ilvl="6" w:tplc="CCB86168" w:tentative="1">
      <w:start w:val="1"/>
      <w:numFmt w:val="bullet"/>
      <w:lvlText w:val=""/>
      <w:lvlJc w:val="left"/>
      <w:pPr>
        <w:tabs>
          <w:tab w:val="num" w:pos="5040"/>
        </w:tabs>
        <w:ind w:left="5040" w:hanging="360"/>
      </w:pPr>
      <w:rPr>
        <w:rFonts w:ascii="Symbol" w:hAnsi="Symbol" w:hint="default"/>
      </w:rPr>
    </w:lvl>
    <w:lvl w:ilvl="7" w:tplc="56EE3D4E" w:tentative="1">
      <w:start w:val="1"/>
      <w:numFmt w:val="bullet"/>
      <w:lvlText w:val=""/>
      <w:lvlJc w:val="left"/>
      <w:pPr>
        <w:tabs>
          <w:tab w:val="num" w:pos="5760"/>
        </w:tabs>
        <w:ind w:left="5760" w:hanging="360"/>
      </w:pPr>
      <w:rPr>
        <w:rFonts w:ascii="Symbol" w:hAnsi="Symbol" w:hint="default"/>
      </w:rPr>
    </w:lvl>
    <w:lvl w:ilvl="8" w:tplc="474A4CE8" w:tentative="1">
      <w:start w:val="1"/>
      <w:numFmt w:val="bullet"/>
      <w:lvlText w:val=""/>
      <w:lvlJc w:val="left"/>
      <w:pPr>
        <w:tabs>
          <w:tab w:val="num" w:pos="6480"/>
        </w:tabs>
        <w:ind w:left="6480" w:hanging="360"/>
      </w:pPr>
      <w:rPr>
        <w:rFonts w:ascii="Symbol" w:hAnsi="Symbol" w:hint="default"/>
      </w:rPr>
    </w:lvl>
  </w:abstractNum>
  <w:abstractNum w:abstractNumId="4">
    <w:nsid w:val="5F616472"/>
    <w:multiLevelType w:val="hybridMultilevel"/>
    <w:tmpl w:val="740ECB0C"/>
    <w:lvl w:ilvl="0" w:tplc="598A683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F5EB4"/>
    <w:multiLevelType w:val="hybridMultilevel"/>
    <w:tmpl w:val="CF5A6636"/>
    <w:lvl w:ilvl="0" w:tplc="B7A4B698">
      <w:start w:val="1"/>
      <w:numFmt w:val="bullet"/>
      <w:lvlText w:val="•"/>
      <w:lvlJc w:val="left"/>
      <w:pPr>
        <w:tabs>
          <w:tab w:val="num" w:pos="720"/>
        </w:tabs>
        <w:ind w:left="720" w:hanging="360"/>
      </w:pPr>
      <w:rPr>
        <w:rFonts w:ascii="Arial" w:hAnsi="Arial" w:hint="default"/>
      </w:rPr>
    </w:lvl>
    <w:lvl w:ilvl="1" w:tplc="7A66000E" w:tentative="1">
      <w:start w:val="1"/>
      <w:numFmt w:val="bullet"/>
      <w:lvlText w:val="•"/>
      <w:lvlJc w:val="left"/>
      <w:pPr>
        <w:tabs>
          <w:tab w:val="num" w:pos="1440"/>
        </w:tabs>
        <w:ind w:left="1440" w:hanging="360"/>
      </w:pPr>
      <w:rPr>
        <w:rFonts w:ascii="Arial" w:hAnsi="Arial" w:hint="default"/>
      </w:rPr>
    </w:lvl>
    <w:lvl w:ilvl="2" w:tplc="5E22AE1E" w:tentative="1">
      <w:start w:val="1"/>
      <w:numFmt w:val="bullet"/>
      <w:lvlText w:val="•"/>
      <w:lvlJc w:val="left"/>
      <w:pPr>
        <w:tabs>
          <w:tab w:val="num" w:pos="2160"/>
        </w:tabs>
        <w:ind w:left="2160" w:hanging="360"/>
      </w:pPr>
      <w:rPr>
        <w:rFonts w:ascii="Arial" w:hAnsi="Arial" w:hint="default"/>
      </w:rPr>
    </w:lvl>
    <w:lvl w:ilvl="3" w:tplc="49DE197E" w:tentative="1">
      <w:start w:val="1"/>
      <w:numFmt w:val="bullet"/>
      <w:lvlText w:val="•"/>
      <w:lvlJc w:val="left"/>
      <w:pPr>
        <w:tabs>
          <w:tab w:val="num" w:pos="2880"/>
        </w:tabs>
        <w:ind w:left="2880" w:hanging="360"/>
      </w:pPr>
      <w:rPr>
        <w:rFonts w:ascii="Arial" w:hAnsi="Arial" w:hint="default"/>
      </w:rPr>
    </w:lvl>
    <w:lvl w:ilvl="4" w:tplc="7B5280DE" w:tentative="1">
      <w:start w:val="1"/>
      <w:numFmt w:val="bullet"/>
      <w:lvlText w:val="•"/>
      <w:lvlJc w:val="left"/>
      <w:pPr>
        <w:tabs>
          <w:tab w:val="num" w:pos="3600"/>
        </w:tabs>
        <w:ind w:left="3600" w:hanging="360"/>
      </w:pPr>
      <w:rPr>
        <w:rFonts w:ascii="Arial" w:hAnsi="Arial" w:hint="default"/>
      </w:rPr>
    </w:lvl>
    <w:lvl w:ilvl="5" w:tplc="24ECEE6E" w:tentative="1">
      <w:start w:val="1"/>
      <w:numFmt w:val="bullet"/>
      <w:lvlText w:val="•"/>
      <w:lvlJc w:val="left"/>
      <w:pPr>
        <w:tabs>
          <w:tab w:val="num" w:pos="4320"/>
        </w:tabs>
        <w:ind w:left="4320" w:hanging="360"/>
      </w:pPr>
      <w:rPr>
        <w:rFonts w:ascii="Arial" w:hAnsi="Arial" w:hint="default"/>
      </w:rPr>
    </w:lvl>
    <w:lvl w:ilvl="6" w:tplc="8FC87326" w:tentative="1">
      <w:start w:val="1"/>
      <w:numFmt w:val="bullet"/>
      <w:lvlText w:val="•"/>
      <w:lvlJc w:val="left"/>
      <w:pPr>
        <w:tabs>
          <w:tab w:val="num" w:pos="5040"/>
        </w:tabs>
        <w:ind w:left="5040" w:hanging="360"/>
      </w:pPr>
      <w:rPr>
        <w:rFonts w:ascii="Arial" w:hAnsi="Arial" w:hint="default"/>
      </w:rPr>
    </w:lvl>
    <w:lvl w:ilvl="7" w:tplc="D2D6D5C2" w:tentative="1">
      <w:start w:val="1"/>
      <w:numFmt w:val="bullet"/>
      <w:lvlText w:val="•"/>
      <w:lvlJc w:val="left"/>
      <w:pPr>
        <w:tabs>
          <w:tab w:val="num" w:pos="5760"/>
        </w:tabs>
        <w:ind w:left="5760" w:hanging="360"/>
      </w:pPr>
      <w:rPr>
        <w:rFonts w:ascii="Arial" w:hAnsi="Arial" w:hint="default"/>
      </w:rPr>
    </w:lvl>
    <w:lvl w:ilvl="8" w:tplc="11BA64A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wnsend FEEHAN">
    <w15:presenceInfo w15:providerId="Windows Live" w15:userId="fd504449aca5b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73"/>
    <w:rsid w:val="0000174D"/>
    <w:rsid w:val="00003ABE"/>
    <w:rsid w:val="0003264B"/>
    <w:rsid w:val="00037110"/>
    <w:rsid w:val="00077B7A"/>
    <w:rsid w:val="000800A7"/>
    <w:rsid w:val="000B341C"/>
    <w:rsid w:val="000D1655"/>
    <w:rsid w:val="000D2C8D"/>
    <w:rsid w:val="00197CA5"/>
    <w:rsid w:val="00234A26"/>
    <w:rsid w:val="00272E52"/>
    <w:rsid w:val="002E64EB"/>
    <w:rsid w:val="003125BF"/>
    <w:rsid w:val="003404AA"/>
    <w:rsid w:val="003F79AA"/>
    <w:rsid w:val="00457D0A"/>
    <w:rsid w:val="005105E1"/>
    <w:rsid w:val="00546821"/>
    <w:rsid w:val="00585939"/>
    <w:rsid w:val="005E228E"/>
    <w:rsid w:val="005F69AE"/>
    <w:rsid w:val="005F6FC6"/>
    <w:rsid w:val="0066309E"/>
    <w:rsid w:val="006932F3"/>
    <w:rsid w:val="006B72A5"/>
    <w:rsid w:val="006D07F4"/>
    <w:rsid w:val="00784D40"/>
    <w:rsid w:val="008020A8"/>
    <w:rsid w:val="00817484"/>
    <w:rsid w:val="00830685"/>
    <w:rsid w:val="00836A02"/>
    <w:rsid w:val="008D4615"/>
    <w:rsid w:val="008D615E"/>
    <w:rsid w:val="00915F5F"/>
    <w:rsid w:val="009211C4"/>
    <w:rsid w:val="00923952"/>
    <w:rsid w:val="00973633"/>
    <w:rsid w:val="00992762"/>
    <w:rsid w:val="009B0AD5"/>
    <w:rsid w:val="009E2979"/>
    <w:rsid w:val="009F4810"/>
    <w:rsid w:val="00A17DCA"/>
    <w:rsid w:val="00A62AD0"/>
    <w:rsid w:val="00A92FD0"/>
    <w:rsid w:val="00A9497D"/>
    <w:rsid w:val="00AD21C2"/>
    <w:rsid w:val="00AD3FF0"/>
    <w:rsid w:val="00AD5D51"/>
    <w:rsid w:val="00B02AC9"/>
    <w:rsid w:val="00B52486"/>
    <w:rsid w:val="00BB0189"/>
    <w:rsid w:val="00C03F97"/>
    <w:rsid w:val="00C06CC5"/>
    <w:rsid w:val="00C81E4D"/>
    <w:rsid w:val="00C9487F"/>
    <w:rsid w:val="00D2301B"/>
    <w:rsid w:val="00D24EAE"/>
    <w:rsid w:val="00D31473"/>
    <w:rsid w:val="00D40639"/>
    <w:rsid w:val="00D47C0F"/>
    <w:rsid w:val="00D62E55"/>
    <w:rsid w:val="00D90241"/>
    <w:rsid w:val="00E42FBA"/>
    <w:rsid w:val="00EA2C71"/>
    <w:rsid w:val="00EF2770"/>
    <w:rsid w:val="00F21C24"/>
    <w:rsid w:val="00F51F36"/>
    <w:rsid w:val="00F55142"/>
    <w:rsid w:val="00F67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0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1473"/>
    <w:pPr>
      <w:spacing w:after="160" w:line="259" w:lineRule="auto"/>
      <w:ind w:left="720"/>
      <w:contextualSpacing/>
    </w:pPr>
  </w:style>
  <w:style w:type="paragraph" w:styleId="NormalWeb">
    <w:name w:val="Normal (Web)"/>
    <w:basedOn w:val="Normal"/>
    <w:uiPriority w:val="99"/>
    <w:semiHidden/>
    <w:unhideWhenUsed/>
    <w:rsid w:val="00C948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edebulles">
    <w:name w:val="Balloon Text"/>
    <w:basedOn w:val="Normal"/>
    <w:link w:val="TextedebullesCar"/>
    <w:uiPriority w:val="99"/>
    <w:semiHidden/>
    <w:unhideWhenUsed/>
    <w:rsid w:val="00C948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487F"/>
    <w:rPr>
      <w:rFonts w:ascii="Tahoma" w:hAnsi="Tahoma" w:cs="Tahoma"/>
      <w:sz w:val="16"/>
      <w:szCs w:val="16"/>
    </w:rPr>
  </w:style>
  <w:style w:type="character" w:styleId="Marquedannotation">
    <w:name w:val="annotation reference"/>
    <w:basedOn w:val="Policepardfaut"/>
    <w:uiPriority w:val="99"/>
    <w:semiHidden/>
    <w:unhideWhenUsed/>
    <w:rsid w:val="008D615E"/>
    <w:rPr>
      <w:sz w:val="16"/>
      <w:szCs w:val="16"/>
    </w:rPr>
  </w:style>
  <w:style w:type="paragraph" w:styleId="Commentaire">
    <w:name w:val="annotation text"/>
    <w:basedOn w:val="Normal"/>
    <w:link w:val="CommentaireCar"/>
    <w:uiPriority w:val="99"/>
    <w:semiHidden/>
    <w:unhideWhenUsed/>
    <w:rsid w:val="008D615E"/>
    <w:pPr>
      <w:spacing w:line="240" w:lineRule="auto"/>
    </w:pPr>
    <w:rPr>
      <w:sz w:val="20"/>
      <w:szCs w:val="20"/>
    </w:rPr>
  </w:style>
  <w:style w:type="character" w:customStyle="1" w:styleId="CommentaireCar">
    <w:name w:val="Commentaire Car"/>
    <w:basedOn w:val="Policepardfaut"/>
    <w:link w:val="Commentaire"/>
    <w:uiPriority w:val="99"/>
    <w:semiHidden/>
    <w:rsid w:val="008D615E"/>
    <w:rPr>
      <w:sz w:val="20"/>
      <w:szCs w:val="20"/>
    </w:rPr>
  </w:style>
  <w:style w:type="paragraph" w:styleId="Objetducommentaire">
    <w:name w:val="annotation subject"/>
    <w:basedOn w:val="Commentaire"/>
    <w:next w:val="Commentaire"/>
    <w:link w:val="ObjetducommentaireCar"/>
    <w:uiPriority w:val="99"/>
    <w:semiHidden/>
    <w:unhideWhenUsed/>
    <w:rsid w:val="008D615E"/>
    <w:rPr>
      <w:b/>
      <w:bCs/>
    </w:rPr>
  </w:style>
  <w:style w:type="character" w:customStyle="1" w:styleId="ObjetducommentaireCar">
    <w:name w:val="Objet du commentaire Car"/>
    <w:basedOn w:val="CommentaireCar"/>
    <w:link w:val="Objetducommentaire"/>
    <w:uiPriority w:val="99"/>
    <w:semiHidden/>
    <w:rsid w:val="008D615E"/>
    <w:rPr>
      <w:b/>
      <w:bCs/>
      <w:sz w:val="20"/>
      <w:szCs w:val="20"/>
    </w:rPr>
  </w:style>
  <w:style w:type="character" w:styleId="Lienhypertexte">
    <w:name w:val="Hyperlink"/>
    <w:basedOn w:val="Policepardfaut"/>
    <w:uiPriority w:val="99"/>
    <w:unhideWhenUsed/>
    <w:rsid w:val="00973633"/>
    <w:rPr>
      <w:color w:val="0000FF" w:themeColor="hyperlink"/>
      <w:u w:val="single"/>
    </w:rPr>
  </w:style>
  <w:style w:type="paragraph" w:styleId="En-tte">
    <w:name w:val="header"/>
    <w:basedOn w:val="Normal"/>
    <w:link w:val="En-tteCar"/>
    <w:uiPriority w:val="99"/>
    <w:unhideWhenUsed/>
    <w:rsid w:val="002E64EB"/>
    <w:pPr>
      <w:tabs>
        <w:tab w:val="center" w:pos="4513"/>
        <w:tab w:val="right" w:pos="9026"/>
      </w:tabs>
      <w:spacing w:after="0" w:line="240" w:lineRule="auto"/>
    </w:pPr>
  </w:style>
  <w:style w:type="character" w:customStyle="1" w:styleId="En-tteCar">
    <w:name w:val="En-tête Car"/>
    <w:basedOn w:val="Policepardfaut"/>
    <w:link w:val="En-tte"/>
    <w:uiPriority w:val="99"/>
    <w:rsid w:val="002E64EB"/>
  </w:style>
  <w:style w:type="paragraph" w:styleId="Pieddepage">
    <w:name w:val="footer"/>
    <w:basedOn w:val="Normal"/>
    <w:link w:val="PieddepageCar"/>
    <w:uiPriority w:val="99"/>
    <w:unhideWhenUsed/>
    <w:rsid w:val="002E64E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E6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1473"/>
    <w:pPr>
      <w:spacing w:after="160" w:line="259" w:lineRule="auto"/>
      <w:ind w:left="720"/>
      <w:contextualSpacing/>
    </w:pPr>
  </w:style>
  <w:style w:type="paragraph" w:styleId="NormalWeb">
    <w:name w:val="Normal (Web)"/>
    <w:basedOn w:val="Normal"/>
    <w:uiPriority w:val="99"/>
    <w:semiHidden/>
    <w:unhideWhenUsed/>
    <w:rsid w:val="00C948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edebulles">
    <w:name w:val="Balloon Text"/>
    <w:basedOn w:val="Normal"/>
    <w:link w:val="TextedebullesCar"/>
    <w:uiPriority w:val="99"/>
    <w:semiHidden/>
    <w:unhideWhenUsed/>
    <w:rsid w:val="00C948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487F"/>
    <w:rPr>
      <w:rFonts w:ascii="Tahoma" w:hAnsi="Tahoma" w:cs="Tahoma"/>
      <w:sz w:val="16"/>
      <w:szCs w:val="16"/>
    </w:rPr>
  </w:style>
  <w:style w:type="character" w:styleId="Marquedannotation">
    <w:name w:val="annotation reference"/>
    <w:basedOn w:val="Policepardfaut"/>
    <w:uiPriority w:val="99"/>
    <w:semiHidden/>
    <w:unhideWhenUsed/>
    <w:rsid w:val="008D615E"/>
    <w:rPr>
      <w:sz w:val="16"/>
      <w:szCs w:val="16"/>
    </w:rPr>
  </w:style>
  <w:style w:type="paragraph" w:styleId="Commentaire">
    <w:name w:val="annotation text"/>
    <w:basedOn w:val="Normal"/>
    <w:link w:val="CommentaireCar"/>
    <w:uiPriority w:val="99"/>
    <w:semiHidden/>
    <w:unhideWhenUsed/>
    <w:rsid w:val="008D615E"/>
    <w:pPr>
      <w:spacing w:line="240" w:lineRule="auto"/>
    </w:pPr>
    <w:rPr>
      <w:sz w:val="20"/>
      <w:szCs w:val="20"/>
    </w:rPr>
  </w:style>
  <w:style w:type="character" w:customStyle="1" w:styleId="CommentaireCar">
    <w:name w:val="Commentaire Car"/>
    <w:basedOn w:val="Policepardfaut"/>
    <w:link w:val="Commentaire"/>
    <w:uiPriority w:val="99"/>
    <w:semiHidden/>
    <w:rsid w:val="008D615E"/>
    <w:rPr>
      <w:sz w:val="20"/>
      <w:szCs w:val="20"/>
    </w:rPr>
  </w:style>
  <w:style w:type="paragraph" w:styleId="Objetducommentaire">
    <w:name w:val="annotation subject"/>
    <w:basedOn w:val="Commentaire"/>
    <w:next w:val="Commentaire"/>
    <w:link w:val="ObjetducommentaireCar"/>
    <w:uiPriority w:val="99"/>
    <w:semiHidden/>
    <w:unhideWhenUsed/>
    <w:rsid w:val="008D615E"/>
    <w:rPr>
      <w:b/>
      <w:bCs/>
    </w:rPr>
  </w:style>
  <w:style w:type="character" w:customStyle="1" w:styleId="ObjetducommentaireCar">
    <w:name w:val="Objet du commentaire Car"/>
    <w:basedOn w:val="CommentaireCar"/>
    <w:link w:val="Objetducommentaire"/>
    <w:uiPriority w:val="99"/>
    <w:semiHidden/>
    <w:rsid w:val="008D615E"/>
    <w:rPr>
      <w:b/>
      <w:bCs/>
      <w:sz w:val="20"/>
      <w:szCs w:val="20"/>
    </w:rPr>
  </w:style>
  <w:style w:type="character" w:styleId="Lienhypertexte">
    <w:name w:val="Hyperlink"/>
    <w:basedOn w:val="Policepardfaut"/>
    <w:uiPriority w:val="99"/>
    <w:unhideWhenUsed/>
    <w:rsid w:val="00973633"/>
    <w:rPr>
      <w:color w:val="0000FF" w:themeColor="hyperlink"/>
      <w:u w:val="single"/>
    </w:rPr>
  </w:style>
  <w:style w:type="paragraph" w:styleId="En-tte">
    <w:name w:val="header"/>
    <w:basedOn w:val="Normal"/>
    <w:link w:val="En-tteCar"/>
    <w:uiPriority w:val="99"/>
    <w:unhideWhenUsed/>
    <w:rsid w:val="002E64EB"/>
    <w:pPr>
      <w:tabs>
        <w:tab w:val="center" w:pos="4513"/>
        <w:tab w:val="right" w:pos="9026"/>
      </w:tabs>
      <w:spacing w:after="0" w:line="240" w:lineRule="auto"/>
    </w:pPr>
  </w:style>
  <w:style w:type="character" w:customStyle="1" w:styleId="En-tteCar">
    <w:name w:val="En-tête Car"/>
    <w:basedOn w:val="Policepardfaut"/>
    <w:link w:val="En-tte"/>
    <w:uiPriority w:val="99"/>
    <w:rsid w:val="002E64EB"/>
  </w:style>
  <w:style w:type="paragraph" w:styleId="Pieddepage">
    <w:name w:val="footer"/>
    <w:basedOn w:val="Normal"/>
    <w:link w:val="PieddepageCar"/>
    <w:uiPriority w:val="99"/>
    <w:unhideWhenUsed/>
    <w:rsid w:val="002E64E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E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5461">
      <w:bodyDiv w:val="1"/>
      <w:marLeft w:val="0"/>
      <w:marRight w:val="0"/>
      <w:marTop w:val="0"/>
      <w:marBottom w:val="0"/>
      <w:divBdr>
        <w:top w:val="none" w:sz="0" w:space="0" w:color="auto"/>
        <w:left w:val="none" w:sz="0" w:space="0" w:color="auto"/>
        <w:bottom w:val="none" w:sz="0" w:space="0" w:color="auto"/>
        <w:right w:val="none" w:sz="0" w:space="0" w:color="auto"/>
      </w:divBdr>
      <w:divsChild>
        <w:div w:id="551112639">
          <w:marLeft w:val="547"/>
          <w:marRight w:val="0"/>
          <w:marTop w:val="96"/>
          <w:marBottom w:val="0"/>
          <w:divBdr>
            <w:top w:val="none" w:sz="0" w:space="0" w:color="auto"/>
            <w:left w:val="none" w:sz="0" w:space="0" w:color="auto"/>
            <w:bottom w:val="none" w:sz="0" w:space="0" w:color="auto"/>
            <w:right w:val="none" w:sz="0" w:space="0" w:color="auto"/>
          </w:divBdr>
        </w:div>
        <w:div w:id="2055692696">
          <w:marLeft w:val="547"/>
          <w:marRight w:val="0"/>
          <w:marTop w:val="96"/>
          <w:marBottom w:val="0"/>
          <w:divBdr>
            <w:top w:val="none" w:sz="0" w:space="0" w:color="auto"/>
            <w:left w:val="none" w:sz="0" w:space="0" w:color="auto"/>
            <w:bottom w:val="none" w:sz="0" w:space="0" w:color="auto"/>
            <w:right w:val="none" w:sz="0" w:space="0" w:color="auto"/>
          </w:divBdr>
        </w:div>
      </w:divsChild>
    </w:div>
    <w:div w:id="737480292">
      <w:bodyDiv w:val="1"/>
      <w:marLeft w:val="0"/>
      <w:marRight w:val="0"/>
      <w:marTop w:val="0"/>
      <w:marBottom w:val="0"/>
      <w:divBdr>
        <w:top w:val="none" w:sz="0" w:space="0" w:color="auto"/>
        <w:left w:val="none" w:sz="0" w:space="0" w:color="auto"/>
        <w:bottom w:val="none" w:sz="0" w:space="0" w:color="auto"/>
        <w:right w:val="none" w:sz="0" w:space="0" w:color="auto"/>
      </w:divBdr>
      <w:divsChild>
        <w:div w:id="185826099">
          <w:marLeft w:val="547"/>
          <w:marRight w:val="0"/>
          <w:marTop w:val="0"/>
          <w:marBottom w:val="0"/>
          <w:divBdr>
            <w:top w:val="none" w:sz="0" w:space="0" w:color="auto"/>
            <w:left w:val="none" w:sz="0" w:space="0" w:color="auto"/>
            <w:bottom w:val="none" w:sz="0" w:space="0" w:color="auto"/>
            <w:right w:val="none" w:sz="0" w:space="0" w:color="auto"/>
          </w:divBdr>
        </w:div>
        <w:div w:id="682049618">
          <w:marLeft w:val="547"/>
          <w:marRight w:val="0"/>
          <w:marTop w:val="0"/>
          <w:marBottom w:val="0"/>
          <w:divBdr>
            <w:top w:val="none" w:sz="0" w:space="0" w:color="auto"/>
            <w:left w:val="none" w:sz="0" w:space="0" w:color="auto"/>
            <w:bottom w:val="none" w:sz="0" w:space="0" w:color="auto"/>
            <w:right w:val="none" w:sz="0" w:space="0" w:color="auto"/>
          </w:divBdr>
        </w:div>
        <w:div w:id="103351128">
          <w:marLeft w:val="547"/>
          <w:marRight w:val="0"/>
          <w:marTop w:val="0"/>
          <w:marBottom w:val="0"/>
          <w:divBdr>
            <w:top w:val="none" w:sz="0" w:space="0" w:color="auto"/>
            <w:left w:val="none" w:sz="0" w:space="0" w:color="auto"/>
            <w:bottom w:val="none" w:sz="0" w:space="0" w:color="auto"/>
            <w:right w:val="none" w:sz="0" w:space="0" w:color="auto"/>
          </w:divBdr>
        </w:div>
        <w:div w:id="14673133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ennah@iabeurope.eu" TargetMode="Externa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10" Type="http://schemas.openxmlformats.org/officeDocument/2006/relationships/hyperlink" Target="http://www.iabeurope.eu/" TargetMode="External"/><Relationship Id="rId11" Type="http://schemas.openxmlformats.org/officeDocument/2006/relationships/image" Target="media/image3.png"/><Relationship Id="rId12" Type="http://schemas.openxmlformats.org/officeDocument/2006/relationships/hyperlink" Target="https://twitter.com/IABEurope" TargetMode="External"/><Relationship Id="rId13" Type="http://schemas.openxmlformats.org/officeDocument/2006/relationships/hyperlink" Target="http://www.google.co.uk/url?sa=i&amp;rct=j&amp;q=&amp;esrc=s&amp;frm=1&amp;source=images&amp;cd=&amp;cad=rja&amp;docid=wBOfZkfBn0SG8M&amp;tbnid=fgY58TNdLeNYSM:&amp;ved=0CAUQjRw&amp;url=http://www.people-onthego.com/social-media-academy/&amp;ei=aBJ9UpjWJeHN0QXCrYHoCA&amp;bvm=bv.56146854,d.ZG4&amp;psig=AFQjCNGM6z73zDg7OsM13FwgODItOjoBYg&amp;ust=1384014821070668" TargetMode="External"/><Relationship Id="rId14" Type="http://schemas.openxmlformats.org/officeDocument/2006/relationships/image" Target="media/image4.png"/><Relationship Id="rId15" Type="http://schemas.openxmlformats.org/officeDocument/2006/relationships/hyperlink" Target="https://www.linkedin.com/company/iab-europe?trk=tyah&amp;trkInfo=tarId%3A1401179388381%2Ctas%3AIAB+Europe%2Cidx%3A1-1-1" TargetMode="External"/><Relationship Id="rId16" Type="http://schemas.openxmlformats.org/officeDocument/2006/relationships/hyperlink" Target="http://www.iabeurope.eu/research-and-papers/iab-europe-reports-priorities-digital-measurement-and-need-c" TargetMode="External"/><Relationship Id="rId17" Type="http://schemas.openxmlformats.org/officeDocument/2006/relationships/hyperlink" Target="http://www.iabeurope.eu/news/adex-benchmark-2013-full-report-published"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5480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Marie-Clare</dc:creator>
  <cp:lastModifiedBy>Grégoire Basset</cp:lastModifiedBy>
  <cp:revision>2</cp:revision>
  <cp:lastPrinted>2015-02-10T11:39:00Z</cp:lastPrinted>
  <dcterms:created xsi:type="dcterms:W3CDTF">2015-02-12T08:47:00Z</dcterms:created>
  <dcterms:modified xsi:type="dcterms:W3CDTF">2015-02-12T08:47:00Z</dcterms:modified>
</cp:coreProperties>
</file>